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StBDV — Ergebnis der schriftlichen Prüfung und Ausschluss von der mündlichen Prüfung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Für die schriftliche Prüfung wird eine Gesamtnote gebildet.</w:t>
      </w:r>
    </w:p>
    <w:p>
      <w:r>
        <w:t xml:space="preserve">(2) Der Bewerber ist von der mündlichen Prüfung ausgeschlossen, wenn die Gesamtnote für die schriftliche Prüfung die Zahl 4,5 übersteigt; er hat die Prüfung nicht bestanden.</w:t>
      </w:r>
    </w:p>
    <w:p>
      <w:r>
        <w:t xml:space="preserve">(3) Die für die Finanzverwaltung zuständige oberste Landesbehörde, vertreten durch die zuständige Steuerberaterkammer, hat Bewerber, die die Prüfung nach Absatz 2 nicht bestanden haben, schriftlich unter Angabe der Einzelnoten der Aufsichtsarbeiten und der Gesamtnote für die schriftliche Prüfung zu bescheiden.</w:t>
      </w:r>
    </w:p>
    <w:p>
      <w:r>
        <w:rPr>
          <w:color w:val="555555"/>
          <w:sz w:val="17"/>
        </w:rPr>
        <w:t xml:space="preserve">Zitiervorschlag: § 25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