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StBDV — Verhalten während der schriftlichen Prüfung</w:t>
      </w:r>
    </w:p>
    <w:p>
      <w:r>
        <w:rPr>
          <w:color w:val="555555"/>
          <w:sz w:val="18"/>
        </w:rPr>
        <w:t xml:space="preserve">Verordnung zur Durchführung der Vorschriften über Steuerberater, Steuerbevollmächtigte und Berufsausübungsgesellschaften</w:t>
      </w:r>
    </w:p>
    <w:p>
      <w:r>
        <w:rPr>
          <w:color w:val="555555"/>
          <w:sz w:val="18"/>
        </w:rPr>
        <w:t xml:space="preserve">Stand: 10.06.2019 (konsolidierte Textfassung, kein amtliches Inkrafttretensdatum)</w:t>
      </w:r>
    </w:p>
    <w:p>
      <w:r>
        <w:t xml:space="preserve">(1) Die Bewerber haben die Aufsichtsarbeiten selbständig zu fertigen. Während der Bearbeitungszeit dürfen sie mit anderen Bewerbern nicht sprechen oder sich mit ihnen in anderer Weise verständigen. Sie dürfen nur die von der für die Finanzverwaltung zuständigen obersten Landesbehörde zugelassenen Hilfsmittel benutzen. Die zuständige Steuerberaterkammer kann anordnen, dass nur von ihr zur Verfügung gestellte Ausgaben der zugelassenen Hilfsmittel benutzt werden dürfen.</w:t>
      </w:r>
    </w:p>
    <w:p>
      <w:r>
        <w:t xml:space="preserve">(2) Am Ende der Bearbeitungszeit haben die Bewerber die Arbeit abzugeben, auch wenn sie unvollendet ist. Die Arbeit ist mit der Anschrift und der Unterschrift des Bewerbers oder mit der Kennzahl zu versehen.</w:t>
      </w:r>
    </w:p>
    <w:p>
      <w:r>
        <w:t xml:space="preserve">(3) Die Bewerber haben Anordnungen des Aufsichtführenden, die sich auf das Verhalten während der Prüfung beziehen, nachzukommen.</w:t>
      </w:r>
    </w:p>
    <w:p>
      <w:r>
        <w:t xml:space="preserve">(4) Einwendungen gegen den Ablauf der Prüfung wegen Störungen, die durch äußere Einwirkungen verursacht worden sind, sind unverzüglich, spätestens bis zum Ende der Bearbeitungszeit der jeweiligen Aufsichtsarbeit, durch Erklärung gegenüber dem Aufsichtführenden geltend zu machen.</w:t>
      </w:r>
    </w:p>
    <w:p>
      <w:r>
        <w:rPr>
          <w:color w:val="555555"/>
          <w:sz w:val="17"/>
        </w:rPr>
        <w:t xml:space="preserve">Zitiervorschlag: § 20 StBDV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https://recht.nulegal.eu/gesetze/StBDV/20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