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StBDV — Aufsicht</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zuständige Steuerberaterkammer veranlaßt, daß die Aufsichtsarbeiten unter ständiger Aufsicht angefertigt werden.</w:t>
      </w:r>
    </w:p>
    <w:p>
      <w:r>
        <w:t xml:space="preserve">(2) Der Aufsichtführende stellt am Prüfungstag die Personalien der erschienenen Bewerber fest. Sodann gibt er an jeden Bewerber die Prüfungsaufgabe aus. Er gibt den Beginn und das Ende der Bearbeitungszeit bekannt und hat darauf zu achten, daß die Arbeit spätestens am Ende der Bearbeitungszeit abgegeben wird und daß sie mit der Anschrift und der Unterschrift des Bewerbers oder mit der Kennzahl versehen ist.</w:t>
      </w:r>
    </w:p>
    <w:p>
      <w:r>
        <w:t xml:space="preserve">(3) Der Aufsichtführende hat darauf zu achten, daß Bewerber sich nicht unerlaubter Hilfsmittel bedienen oder eines sonstigen Täuschungsversuchs schuldig machen.</w:t>
      </w:r>
    </w:p>
    <w:p>
      <w:r>
        <w:t xml:space="preserve">(4) Der Aufsichtführende kann Bewerber wegen ungebührlichen Verhaltens aus dem Prüfungsraum weisen. Der Bewerber ist von der Fortsetzung der an diesem Prüfungstag anzufertigenden Aufsichtsarbeit ausgeschlossen.</w:t>
      </w:r>
    </w:p>
    <w:p>
      <w:r>
        <w:t xml:space="preserve">(5) (weggefallen)</w:t>
      </w:r>
    </w:p>
    <w:p>
      <w:r>
        <w:rPr>
          <w:color w:val="555555"/>
          <w:sz w:val="17"/>
        </w:rPr>
        <w:t xml:space="preserve">Zitiervorschlag: § 19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