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StBDV — Fertigung der Aufsichtsarbeiten</w:t>
      </w:r>
    </w:p>
    <w:p>
      <w:r>
        <w:rPr>
          <w:color w:val="555555"/>
          <w:sz w:val="18"/>
        </w:rPr>
        <w:t xml:space="preserve">Verordnung zur Durchführung der Vorschriften über Steuerberater, Steuerbevollmächtigte und Berufsausübungsgesellschaften</w:t>
      </w:r>
    </w:p>
    <w:p>
      <w:r>
        <w:rPr>
          <w:color w:val="555555"/>
          <w:sz w:val="18"/>
        </w:rPr>
        <w:t xml:space="preserve">Stand: 01.07.2025 (konsolidierte Textfassung, kein amtliches Inkrafttretensdatum)</w:t>
      </w:r>
    </w:p>
    <w:p>
      <w:r>
        <w:t xml:space="preserve">(1) Die Prüfungsaufgaben der Aufsichtsarbeiten werden von der für die Finanzverwaltung zuständigen obersten Landesbehörde im Einvernehmen mit den übrigen für die Finanzverwaltung zuständigen obersten Landesbehörden gestellt. Sie bestimmt die zulässigen Hilfsmittel und die Bearbeitungszeit. Die Bearbeitungszeit soll für jede Arbeit mindestens vier und höchstens sechs Stunden betragen. Die zuständige Steuerberaterkammer bestimmt in der Ladung zur schriftlichen Prüfung, ob die Arbeiten mit der Anschrift und der Unterschrift des Bewerbers oder mit der zugeteilten Kennzahl zu versehen sind.</w:t>
      </w:r>
    </w:p>
    <w:p>
      <w:r>
        <w:t xml:space="preserve">(2) Die Prüfungsaufgaben sind geheim zu halten. Sie sind von der zuständigen Steuerberaterkammer an den jeweiligen Prüfungstagen dem Aufsichtsführenden in der erforderlichen Anzahl zur Verteilung an die erschienenen Bewerber auszuhändigen.</w:t>
      </w:r>
    </w:p>
    <w:p>
      <w:r>
        <w:t xml:space="preserve">(3) Die zuständige Steuerberaterkammer hat einem Bewerber, der wegen einer nachgewiesenen Behinderung bei der Fertigung der Aufsichtsarbeiten erheblich beeinträchtigt ist, auf Antrag einen seiner Behinderung entsprechenden Nachteilsausgleich zu gewähren. Die fachlichen Prüfungsanforderungen dürfen durch den Nachteilsausgleich nicht verändert werden. Der Antrag soll mit dem Antrag auf Zulassung zur Prüfung gestellt werden. Die zuständige Steuerberaterkammer kann die Vorlage eines amtsärztlichen Zeugnisses verlangen.</w:t>
      </w:r>
    </w:p>
    <w:p>
      <w:r>
        <w:rPr>
          <w:color w:val="555555"/>
          <w:sz w:val="17"/>
        </w:rPr>
        <w:t xml:space="preserve">Zitiervorschlag: § 18 StBDV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https://recht.nulegal.eu/gesetze/StBDV/18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