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StBDV — Schriftliche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31.12.2024 (konsolidierte Textfassung, kein amtliches Inkrafttretensdatum)</w:t>
      </w:r>
    </w:p>
    <w:p>
      <w:r>
        <w:t xml:space="preserve">(1) Die schriftliche Prüfung besteht aus drei Aufsichtsarbeiten.</w:t>
      </w:r>
    </w:p>
    <w:p>
      <w:r>
        <w:t xml:space="preserve">(2) Zwei Aufsichtsarbeiten sind den Prüfungsgebieten nach § 37 Abs. 3 Nr. 1 bis 4 des Steuerberatungsgesetzes und eine Aufsichtsarbeit den Gebieten der Buchführung und des Bilanzwesens zu entnehmen. Die Aufsichtsarbeiten können sich daneben jeweils auch auf andere Prüfungsgebiete erstrecken.</w:t>
      </w:r>
    </w:p>
    <w:p>
      <w:r>
        <w:t xml:space="preserve">(3) In der Steuerberaterprüfung in Sonderfällen (§ 37a des Steuerberatungsgesetzes) sind die Aufsichtsarbeiten den Prüfungsgebieten nach § 37 Abs. 3 Nr. 1 bis 4 des Steuerberatungsgesetzes zu entnehmen. Absatz 2 Satz 2 gilt entsprechend.</w:t>
      </w:r>
    </w:p>
    <w:p>
      <w:r>
        <w:rPr>
          <w:color w:val="555555"/>
          <w:sz w:val="17"/>
        </w:rPr>
        <w:t xml:space="preserve">Zitiervorschlag: § 16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