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StBDV — Durchführung der Prüfungen</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Die für die Finanzverwaltung zuständige oberste Landesbehörde setzt, in der Regel jährlich einmal, die Prüfung der zugelassenen Bewerber durch den Prüfungsausschuss im Einvernehmen mit den übrigen für die Finanzverwaltung zuständigen obersten Landesbehörden an.</w:t>
      </w:r>
    </w:p>
    <w:p>
      <w:r>
        <w:t xml:space="preserve">(2) Die Prüfungen und die Beratungen des Prüfungsausschusses sind nicht öffentlich. An der mündlichen Prüfung können Vertreter der für die Finanzverwaltung zuständigen obersten Landesbehörde und des Vorstandes der zuständigen Steuerberaterkammer teilnehmen. Anderen Personen kann der Vorsitzende des Prüfungsausschusses die Anwesenheit gestatten.</w:t>
      </w:r>
    </w:p>
    <w:p>
      <w:r>
        <w:rPr>
          <w:color w:val="555555"/>
          <w:sz w:val="17"/>
        </w:rPr>
        <w:t xml:space="preserve">Zitiervorschlag: § 14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