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StBDV — Rechtsstellung der Mitglieder der Prüfungsausschüsse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Mitglieder der Prüfungsausschüsse sind nicht weisungsgebunden. Sie dürfen die Zulassungs- und Prüfungsunterlagen einsehen.</w:t>
      </w:r>
    </w:p>
    <w:p>
      <w:r>
        <w:t xml:space="preserve">(2) Die Mitglieder der Prüfungsausschüsse haben über Tatsachen, die ihnen in dieser Eigenschaft anvertraut oder bekannt geworden sind, Verschwiegenheit zu wahren.</w:t>
      </w:r>
    </w:p>
    <w:p>
      <w:r>
        <w:t xml:space="preserve">(3) Die Mitglieder der Prüfungsausschüsse sind aus dem Gebührenaufkommen zu entschädigen.</w:t>
      </w:r>
    </w:p>
    <w:p>
      <w:r>
        <w:rPr>
          <w:color w:val="555555"/>
          <w:sz w:val="17"/>
        </w:rPr>
        <w:t xml:space="preserve">Zitiervorschlag: § 12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