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StBAPO 2022 — Berechtigungen der Mitglieder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 Mitglieder des Koordinierungsausschusses sind berechtigt,</w:t>
      </w:r>
    </w:p>
    <w:p>
      <w:pPr>
        <w:ind w:left="420"/>
      </w:pPr>
      <w:r>
        <w:t xml:space="preserve">1. Einblick in den Lehrbetrieb aller Bildungseinrichtungen und besonderen Einrichtungen, die der Aus- und Fortbildung der Steuerbeamtinnen und Steuerbeamten dienen, zu nehmen sowie</w:t>
      </w:r>
    </w:p>
    <w:p>
      <w:pPr>
        <w:ind w:left="420"/>
      </w:pPr>
      <w:r>
        <w:t xml:space="preserve">2. an den Zwischenprüfungen des gehobenen Steuerverwaltungsdienstes und Laufbahnprüfungen des mittleren und gehobenen Steuerverwaltungsdienstes einschließlich der Beratungen der jeweiligen Prüfungsausschüsse teilzunehmen und die Prüfungsunterlagen einzusehen.</w:t>
      </w:r>
    </w:p>
    <w:p>
      <w:r>
        <w:rPr>
          <w:color w:val="555555"/>
          <w:sz w:val="17"/>
        </w:rPr>
        <w:t xml:space="preserve">Zitiervorschlag: § 88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