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StBAPO 2022 — Aufgaben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Der Koordinierungsausschuss hat insbesondere die Aufgabe,</w:t>
      </w:r>
    </w:p>
    <w:p>
      <w:pPr>
        <w:ind w:left="420"/>
      </w:pPr>
      <w:r>
        <w:t xml:space="preserve">1. Richtlinien aufzustellen für</w:t>
      </w:r>
    </w:p>
    <w:p>
      <w:pPr>
        <w:ind w:left="780"/>
      </w:pPr>
      <w:r>
        <w:t xml:space="preserve">a) die Stoffgliederungspläne,</w:t>
      </w:r>
    </w:p>
    <w:p>
      <w:pPr>
        <w:ind w:left="780"/>
      </w:pPr>
      <w:r>
        <w:t xml:space="preserve">b) die Lehrpläne,</w:t>
      </w:r>
    </w:p>
    <w:p>
      <w:pPr>
        <w:ind w:left="780"/>
      </w:pPr>
      <w:r>
        <w:t xml:space="preserve">c) die ergänzenden und fortführenden Studien an der Bundesfinanzakademie,</w:t>
      </w:r>
    </w:p>
    <w:p>
      <w:pPr>
        <w:ind w:left="780"/>
      </w:pPr>
      <w:r>
        <w:t xml:space="preserve">d) die Gestaltung der berufspraktischen Ausbildungs- und Studienzeiten sowie</w:t>
      </w:r>
    </w:p>
    <w:p>
      <w:pPr>
        <w:ind w:left="780"/>
      </w:pPr>
      <w:r>
        <w:t xml:space="preserve">e) die berufspädagogische Fortbildung der Lehrenden,</w:t>
      </w:r>
    </w:p>
    <w:p>
      <w:pPr>
        <w:ind w:left="420"/>
      </w:pPr>
      <w:r>
        <w:t xml:space="preserve">2. Maßnahmen zu empfehlen, die</w:t>
      </w:r>
    </w:p>
    <w:p>
      <w:pPr>
        <w:ind w:left="780"/>
      </w:pPr>
      <w:r>
        <w:t xml:space="preserve">a) die Einheitlichkeit der Ausbildung, der Einführung und der Fortbildung sowie des Prüfungsverfahrens und der Prüfungsanforderungen gewährleisten sowie</w:t>
      </w:r>
    </w:p>
    <w:p>
      <w:pPr>
        <w:ind w:left="780"/>
      </w:pPr>
      <w:r>
        <w:t xml:space="preserve">b) der Entwicklung bundeseinheitlicher Fortbildungsmaßnahmen von grundsätzlicher Bedeutung dienen,</w:t>
      </w:r>
    </w:p>
    <w:p>
      <w:pPr>
        <w:ind w:left="420"/>
      </w:pPr>
      <w:r>
        <w:t xml:space="preserve">3. Erfahrungen auszutauschen über</w:t>
      </w:r>
    </w:p>
    <w:p>
      <w:pPr>
        <w:ind w:left="780"/>
      </w:pPr>
      <w:r>
        <w:t xml:space="preserve">a) die Auswahl der Laufbahnbewerberinnen und Laufbahnbewerber und der Aufstiegsbewerberinnen und Aufstiegsbewerber und</w:t>
      </w:r>
    </w:p>
    <w:p>
      <w:pPr>
        <w:ind w:left="780"/>
      </w:pPr>
      <w:r>
        <w:t xml:space="preserve">b) die Durchführung der Ausbildung, der Einführung, der Prüfungen und der Fortbildung sowie</w:t>
      </w:r>
    </w:p>
    <w:p>
      <w:pPr>
        <w:ind w:left="420"/>
      </w:pPr>
      <w:r>
        <w:t xml:space="preserve">4. Tagungen vorzubereiten</w:t>
      </w:r>
    </w:p>
    <w:p>
      <w:pPr>
        <w:ind w:left="780"/>
      </w:pPr>
      <w:r>
        <w:t xml:space="preserve">a) für die Aus- und Fortbildungsreferentinnen und Aus- und Fortbildungsreferenten der Oberfinanzdirektionen oder der Landesfinanzbehörden, die die Aufgaben der Oberfinanzdirektion wahrnehmen, und</w:t>
      </w:r>
    </w:p>
    <w:p>
      <w:pPr>
        <w:ind w:left="780"/>
      </w:pPr>
      <w:r>
        <w:t xml:space="preserve">b) für die Leiterinnen und Leiter der Bildungseinrichtungen oder der Fachbereiche an Fachhochschulen der Verwaltung, soweit diese Bildungseinrichtungen und Fachbereiche der Ausbildung der Steuerbeamtinnen und Steuerbeamten dienen, sowie</w:t>
      </w:r>
    </w:p>
    <w:p>
      <w:pPr>
        <w:ind w:left="420"/>
      </w:pPr>
      <w:r>
        <w:t xml:space="preserve">5. Veranstaltungen zur berufspädagogischen Fortbildung der Lehrenden vorzubereiten.</w:t>
      </w:r>
    </w:p>
    <w:p>
      <w:r>
        <w:rPr>
          <w:color w:val="555555"/>
          <w:sz w:val="17"/>
        </w:rPr>
        <w:t xml:space="preserve">Zitiervorschlag: § 87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