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StBAPO 2022 — Abschluss und Verlängerung der Einführung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Der erfolgreiche Abschluss der Einführung wird von der obersten Landesbehörde oder der von ihr bestimmten Stelle unter Berücksichtigung der abgegebenen Äußerungen festgestellt.</w:t>
      </w:r>
    </w:p>
    <w:p>
      <w:r>
        <w:t xml:space="preserve">(2) Die Einführung kann verlängert werden, wenn festgestellt wird, dass</w:t>
      </w:r>
    </w:p>
    <w:p>
      <w:pPr>
        <w:ind w:left="420"/>
      </w:pPr>
      <w:r>
        <w:t xml:space="preserve">1. ihr Ziel innerhalb der regelmäßigen Einführungszeit nicht erreicht werden kann oder</w:t>
      </w:r>
    </w:p>
    <w:p>
      <w:pPr>
        <w:ind w:left="420"/>
      </w:pPr>
      <w:r>
        <w:t xml:space="preserve">2. die Einführung nicht erfolgreich abgeschlossen worden ist.</w:t>
      </w:r>
    </w:p>
    <w:p>
      <w:r>
        <w:rPr>
          <w:color w:val="555555"/>
          <w:sz w:val="17"/>
        </w:rPr>
        <w:t xml:space="preserve">Zitiervorschlag: § 85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