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StBAPO 2022 — Ziel</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Einführung bereitet die Beamtinnen und Beamten auf ihre künftigen Führungsaufgaben in der Steuerverwaltung vor und ergänzt ihre fachlichen Kenntnisse. Die hierfür erforderlichen Kompetenzen sind in Theorie und Praxis durch geeignete Bildungsangebote zu fördern. Während der Einführung ist den Beamtinnen und Beamten Gelegenheit zu eigenverantwortlicher und selbständiger Tätigkeit zu geben.</w:t>
      </w:r>
    </w:p>
    <w:p>
      <w:r>
        <w:t xml:space="preserve">(2) In den ergänzenden und den fortführenden Studien an der Bundesfinanzakademie erwerben die Beamtinnen und Beamten neben der Fachkompetenz die methodische, soziale, wirtschaftliche und internationale Kompetenz.</w:t>
      </w:r>
    </w:p>
    <w:p>
      <w:r>
        <w:rPr>
          <w:color w:val="555555"/>
          <w:sz w:val="17"/>
        </w:rPr>
        <w:t xml:space="preserve">Zitiervorschlag: § 81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