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StBAPO 2022 — Aufstieg in den höheren Steuerverwaltungsdienst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inhaltliche Gestaltung der Einführung beim Aufstieg vom gehobenen Steuerverwaltungsdienst in den höheren Steuerverwaltungsdienst richtet sich nach Landesrecht.</w:t>
      </w:r>
    </w:p>
    <w:p>
      <w:r>
        <w:t xml:space="preserve">(2) Die Einführung in den höheren Steuerverwaltungsdienst ist erfolgreich abgeschlossen, wenn die Beamtin oder der Beamte die für die neue Laufbahn erforderlichen Kenntnisse und Fähigkeiten besitzt.</w:t>
      </w:r>
    </w:p>
    <w:p>
      <w:r>
        <w:rPr>
          <w:color w:val="555555"/>
          <w:sz w:val="17"/>
        </w:rPr>
        <w:t xml:space="preserve">Zitiervorschlag: § 80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