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StBAPO 2022 — Ausbildungsakte und Einsichtnahme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oberste Landesbehörde oder die von ihr bestimmte Stelle führt eine Ausbildungsakte.</w:t>
      </w:r>
    </w:p>
    <w:p>
      <w:r>
        <w:t xml:space="preserve">(2) Die Beamtinnen und Beamten können auf schriftlichen oder elektronischen Antrag Einsicht in ihre Ausbildungsunterlagen nehmen. Die Einsichtnahme ist zu vermerken.</w:t>
      </w:r>
    </w:p>
    <w:p>
      <w:r>
        <w:t xml:space="preserve">(3) Nach Beendigung des Vorbereitungsdienstes wird die Ausbildungsakte mindestens fünf und längstens zehn Jahre aufbewahrt und anschließend vernichtet.</w:t>
      </w:r>
    </w:p>
    <w:p>
      <w:r>
        <w:rPr>
          <w:color w:val="555555"/>
          <w:sz w:val="17"/>
        </w:rPr>
        <w:t xml:space="preserve">Zitiervorschlag: § 7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