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StBAPO 2022 — Ermittlung der Endnotenpunktzahl und Ergebnis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Im Anschluss an die Bewertung der Prüfungsarbeiten setzt der Prüfungsausschuss die Endnotenpunktzahl der Zwischenprüfung fest. Über die Sitzung des Prüfungsausschusses ist eine Niederschrift anzufertigen.</w:t>
      </w:r>
    </w:p>
    <w:p>
      <w:r>
        <w:t xml:space="preserve">(2) Die Endnotenpunktzahl ist die Summe aus</w:t>
      </w:r>
    </w:p>
    <w:p>
      <w:pPr>
        <w:ind w:left="420"/>
      </w:pPr>
      <w:r>
        <w:t xml:space="preserve">1. dem 10-Fachen der Durchschnittsnotenpunktzahl der Leistungen bis zur Zwischenprüfung und</w:t>
      </w:r>
    </w:p>
    <w:p>
      <w:pPr>
        <w:ind w:left="420"/>
      </w:pPr>
      <w:r>
        <w:t xml:space="preserve">2. dem 30-Fachen der Durchschnittsnotenpunktzahl der Prüfungsarbeiten der Zwischenprüfung.</w:t>
      </w:r>
    </w:p>
    <w:p>
      <w:r>
        <w:t xml:space="preserve">(3) Die Zwischenprüfung ist bestanden, wenn</w:t>
      </w:r>
    </w:p>
    <w:p>
      <w:pPr>
        <w:ind w:left="420"/>
      </w:pPr>
      <w:r>
        <w:t xml:space="preserve">1. mindestens drei Prüfungsarbeiten mit jeweils der Notenpunktzahl von mindestens 5 bewertet worden sind,</w:t>
      </w:r>
    </w:p>
    <w:p>
      <w:pPr>
        <w:ind w:left="420"/>
      </w:pPr>
      <w:r>
        <w:t xml:space="preserve">2. in der schriftlichen Prüfung eine Durchschnittsnotenpunktzahl von mindestens 5 erreicht worden ist und</w:t>
      </w:r>
    </w:p>
    <w:p>
      <w:pPr>
        <w:ind w:left="420"/>
      </w:pPr>
      <w:r>
        <w:t xml:space="preserve">3. die Endnotenpunktzahl mindestens 200 beträgt.</w:t>
      </w:r>
    </w:p>
    <w:p>
      <w:r>
        <w:t xml:space="preserve">(4) Bei bestandener Zwischenprüfung setzt der Prüfungsausschuss anhand der Endnotenpunktzahl die Prüfungsgesamtnote für die Zwischenprüfung fest.</w:t>
      </w:r>
    </w:p>
    <w:p>
      <w:r>
        <w:rPr>
          <w:color w:val="555555"/>
          <w:sz w:val="17"/>
        </w:rPr>
        <w:t xml:space="preserve">Zitiervorschlag: § 65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