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StBAPO 2022 — Schriftliche Arbeit im Hauptstudium</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Während des Hauptstudiums ist zu einem vorgegebenen Thema bis zu einem vorgegebenen Abgabetermin eine schriftliche Arbeit unter Anwendung wissenschaftlicher Erkenntnisse und Methoden anzufertigen. Die Bildungseinrichtung ist berechtigt, die Form der Abgabe zu regeln und das Einhalten vorstehender Grundsätze mittels elektronischer Hilfsmittel zu überprüfen.</w:t>
      </w:r>
    </w:p>
    <w:p>
      <w:r>
        <w:t xml:space="preserve">(2) § 14 Absatz 1 Satz 2 und Absatz 3, § 15 Absatz 1 und 3 sowie § 62 Absatz 1 bis 3 und Absatz 5 sind entsprechend anwendbar. An Stelle des in § 62 Absatz 5 Satz 2 und 3 genannten Prüfungsausschusses entscheidet die oberste Landesbehörde oder die von ihr bestimmte Stelle.</w:t>
      </w:r>
    </w:p>
    <w:p>
      <w:r>
        <w:rPr>
          <w:color w:val="555555"/>
          <w:sz w:val="17"/>
        </w:rPr>
        <w:t xml:space="preserve">Zitiervorschlag: § 57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