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StBAPO 2022 — Abschlussklausuren im Grundstudium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Am Ende des Grundstudiums sind fünf Abschlussklausuren in den folgenden Fächern anzufertigen:</w:t>
      </w:r>
    </w:p>
    <w:p>
      <w:pPr>
        <w:ind w:left="420"/>
      </w:pPr>
      <w:r>
        <w:t xml:space="preserve">1. Abgabenrecht,</w:t>
      </w:r>
    </w:p>
    <w:p>
      <w:pPr>
        <w:ind w:left="420"/>
      </w:pPr>
      <w:r>
        <w:t xml:space="preserve">2. Umsatzsteuer,</w:t>
      </w:r>
    </w:p>
    <w:p>
      <w:pPr>
        <w:ind w:left="420"/>
      </w:pPr>
      <w:r>
        <w:t xml:space="preserve">3. Steuern vom Einkommen und Ertrag,</w:t>
      </w:r>
    </w:p>
    <w:p>
      <w:pPr>
        <w:ind w:left="420"/>
      </w:pPr>
      <w:r>
        <w:t xml:space="preserve">4. Bilanzsteuerrecht, Betriebliches Rechnungswesen und Außenprüfung sowie</w:t>
      </w:r>
    </w:p>
    <w:p>
      <w:pPr>
        <w:ind w:left="420"/>
      </w:pPr>
      <w:r>
        <w:t xml:space="preserve">5. Privatrecht oder Privatrecht in Kombination mit Öffentlichem Recht.</w:t>
      </w:r>
    </w:p>
    <w:p>
      <w:r>
        <w:t xml:space="preserve">(2) Die Bearbeitungszeit beträgt jeweils mindestens drei Zeitstunden.</w:t>
      </w:r>
    </w:p>
    <w:p>
      <w:r>
        <w:t xml:space="preserve">(3) § 14 Absatz 1 Satz 2 und Absatz 3, § 15 Absatz 1 und 3 sowie § 62 Absatz 1 bis 5 sind entsprechend anwendbar. An Stelle des in § 62 Absatz 5 Satz 2 und 3 genannten Prüfungsausschusses entscheidet die oberste Landesbehörde oder die von ihr bestimmte Stelle.</w:t>
      </w:r>
    </w:p>
    <w:p>
      <w:r>
        <w:t xml:space="preserve">(4) Sofern die Abschlussklausuren gemäß Absatz 1 teilweise im Antwort-Wahl-Verfahren durchgeführt werden, sind die Aufsichtsarbeiten gemäß § 55 Absatz 1 Satz 2 in den Fächern der Abschlussklausuren ebenfalls teilweise im Antwort-Wahl-Verfahren durchzuführen.</w:t>
      </w:r>
    </w:p>
    <w:p>
      <w:r>
        <w:rPr>
          <w:color w:val="555555"/>
          <w:sz w:val="17"/>
        </w:rPr>
        <w:t xml:space="preserve">Zitiervorschlag: § 56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