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StBAPO 2022 — Lerninhalte und Einteilung der Studienfächer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Lerninhalte der Fachstudien sind nach wissenschaftlichen Erkenntnissen und Methoden praxisbezogen und anwendungsorientiert zu vermitteln.</w:t>
      </w:r>
    </w:p>
    <w:p>
      <w:r>
        <w:t xml:space="preserve">(2) Die Studienfächer bestehen aus Pflichtfächern, Wahlpflichtveranstaltungen, dem Schwerpunktthema und Fallstudien. Wahlfächer können angeboten werden.</w:t>
      </w:r>
    </w:p>
    <w:p>
      <w:r>
        <w:t xml:space="preserve">(3) Ein angemessener Teil der Lehrveranstaltungen ist fächerübergreifend zu gestalten. Lehrveranstaltungen zum Schwerpunktthema sind stets fächerübergreifend zu gestalten.</w:t>
      </w:r>
    </w:p>
    <w:p>
      <w:r>
        <w:rPr>
          <w:color w:val="555555"/>
          <w:sz w:val="17"/>
        </w:rPr>
        <w:t xml:space="preserve">Zitiervorschlag: § 52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