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StBAPO 2022 — Studienfächer und Gesamtstunden</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Fachstudien vermitteln neben der Fachkompetenz die methodische und die soziale Kompetenz sowie das Verständnis für internationale Zusammenhänge. Die Studienfächer und Vorgaben zu Mindestunterrichtsstunden in einzelnen Studienfächern sind der Anlage 11 zu entnehmen. Die Wahl der Lehrveranstaltungsform richtet sich nach den Studienzielen.</w:t>
      </w:r>
    </w:p>
    <w:p>
      <w:r>
        <w:t xml:space="preserve">(2) Die Gesamtstundenzahl in den Lehrveranstaltungen beträgt mindestens 2 200 Unterrichtsstunden.</w:t>
      </w:r>
    </w:p>
    <w:p>
      <w:r>
        <w:rPr>
          <w:color w:val="555555"/>
          <w:sz w:val="17"/>
        </w:rPr>
        <w:t xml:space="preserve">Zitiervorschlag: § 51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