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StBAPO 2022 — Erholungsurlaub</w:t>
      </w:r>
    </w:p>
    <w:p>
      <w:r>
        <w:rPr>
          <w:color w:val="555555"/>
          <w:sz w:val="18"/>
        </w:rPr>
        <w:t xml:space="preserve">Steuerbeamtenausbildungs- und -prüfungsordnung</w:t>
      </w:r>
    </w:p>
    <w:p>
      <w:r>
        <w:rPr>
          <w:color w:val="555555"/>
          <w:sz w:val="18"/>
        </w:rPr>
        <w:t xml:space="preserve">Stand: 04.11.2022 (konsolidierte Textfassung, kein amtliches Inkrafttretensdatum)</w:t>
      </w:r>
    </w:p>
    <w:p>
      <w:r>
        <w:t xml:space="preserve">Während des Studiums ist der Anspruch auf Erholungsurlaub anteilig auf die Fachstudien und die berufspraktische Studienzeit zu verteilen. Tage, an denen keine Lehrveranstaltungen der Bildungseinrichtungen stattfinden, werden auf den Anspruch auf Erholungsurlaub angerechnet.</w:t>
      </w:r>
    </w:p>
    <w:p>
      <w:r>
        <w:rPr>
          <w:color w:val="555555"/>
          <w:sz w:val="17"/>
        </w:rPr>
        <w:t xml:space="preserve">Zitiervorschlag: § 50 StBAPO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https://recht.nulegal.eu/gesetze/StBAPO%202022/50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