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StBAPO 2022 — Prüfungsfächer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Der schriftliche Teil der Laufbahnprüfung umfasst fünf Prüfungsarbeiten aus den folgenden Fächern:</w:t>
      </w:r>
    </w:p>
    <w:p>
      <w:pPr>
        <w:ind w:left="420"/>
      </w:pPr>
      <w:r>
        <w:t xml:space="preserve">1. Allgemeines Abgabenrecht,</w:t>
      </w:r>
    </w:p>
    <w:p>
      <w:pPr>
        <w:ind w:left="420"/>
      </w:pPr>
      <w:r>
        <w:t xml:space="preserve">2. Steuern vom Einkommen und Ertrag,</w:t>
      </w:r>
    </w:p>
    <w:p>
      <w:pPr>
        <w:ind w:left="420"/>
      </w:pPr>
      <w:r>
        <w:t xml:space="preserve">3. Umsatzsteuer,</w:t>
      </w:r>
    </w:p>
    <w:p>
      <w:pPr>
        <w:ind w:left="420"/>
      </w:pPr>
      <w:r>
        <w:t xml:space="preserve">4. Buchführung und Bilanzwesen sowie</w:t>
      </w:r>
    </w:p>
    <w:p>
      <w:pPr>
        <w:ind w:left="420"/>
      </w:pPr>
      <w:r>
        <w:t xml:space="preserve">5. Steuererhebung oder Staats- und Verwaltungskunde oder eine Kombination aus diesen beiden Fächern.</w:t>
      </w:r>
    </w:p>
    <w:p>
      <w:r>
        <w:t xml:space="preserve">(2) Jedes Prüfungsfach soll mit Aufgaben aus übergreifenden oder angrenzenden Fächern verbunden werden. Prüfungsarbeiten können Fragen der Datenverarbeitung in der Steuerverwaltung umfassen.</w:t>
      </w:r>
    </w:p>
    <w:p>
      <w:r>
        <w:t xml:space="preserve">(3) Die Bearbeitungszeit beträgt für jede Prüfungsarbeit drei Zeitstunden.</w:t>
      </w:r>
    </w:p>
    <w:p>
      <w:r>
        <w:t xml:space="preserve">(4) An einem Tag darf nur eine Prüfungsarbeit gestellt werden. Spätestens nach zwei aufeinanderfolgenden Prüfungstagen muss ein Tag prüfungsfrei bleiben.</w:t>
      </w:r>
    </w:p>
    <w:p>
      <w:r>
        <w:rPr>
          <w:color w:val="555555"/>
          <w:sz w:val="17"/>
        </w:rPr>
        <w:t xml:space="preserve">Zitiervorschlag: § 38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