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StBAPO 2022 — Übungen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Ein angemessener Teil der Lehrveranstaltungen in der fachtheoretischen Ausbildung besteht aus Übungen. Ein Teil der Übungen ist fächerübergreifend zu gestalten.</w:t>
      </w:r>
    </w:p>
    <w:p>
      <w:r>
        <w:t xml:space="preserve">(2) Die Übungen dienen dazu, die bis dahin fachtheoretisch und berufspraktisch vermittelten Kenntnisse und Fähigkeiten zu verknüpfen und einzuüben. In den Übungen sollen auch praxisorientierte Arbeits- und Entscheidungstechniken bei der Veranlagung von Steuern behandelt werden.</w:t>
      </w:r>
    </w:p>
    <w:p>
      <w:r>
        <w:t xml:space="preserve">(3) Die Übungen sollen als solche in den Stoffgliederungsplänen und in den Lehrplänen ausgewiesen werden.</w:t>
      </w:r>
    </w:p>
    <w:p>
      <w:r>
        <w:rPr>
          <w:color w:val="555555"/>
          <w:sz w:val="17"/>
        </w:rPr>
        <w:t xml:space="preserve">Zitiervorschlag: § 30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