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StBAPO 2022 — Bewertungen von Leistungen im Antwort-Wahl-Verfahren</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Bei im Antwort-Wahl-Verfahren durchgeführten Leistungsnachweisen wird die Notenpunktzahl 5 vergeben, wenn die Mindestleistungspunktzahl erreicht worden ist. Die Mindestleistungspunktzahl entspricht einheitlich für alle Teilnehmerinnen und Teilnehmer eines Termins</w:t>
      </w:r>
    </w:p>
    <w:p>
      <w:pPr>
        <w:ind w:left="420"/>
      </w:pPr>
      <w:r>
        <w:t xml:space="preserve">1. 60 Prozent der erreichbaren Leistungspunkte oder</w:t>
      </w:r>
    </w:p>
    <w:p>
      <w:pPr>
        <w:ind w:left="420"/>
      </w:pPr>
      <w:r>
        <w:t xml:space="preserve">2. wenn die Grenze nach Nummer 1 von der um 22 Prozent geminderten durchschnittlichen Leistung aller Teilnehmerinnen und Teilnehmer des jeweiligen Termins unterschritten wird, 78 Prozent der durchschnittlichen Leistungspunkte, mindestens jedoch 50 Prozent der erreichbaren Leistungspunkte.</w:t>
      </w:r>
    </w:p>
    <w:p>
      <w:r>
        <w:t xml:space="preserve">(2) Überschreitet die erreichte Leistungspunktzahl die Mindestleistungspunktzahl, so werden die Notenpunktzahlen wie folgt vergeben:</w:t>
      </w:r>
    </w:p>
    <w:p>
      <w:r>
        <w:rPr>
          <w:rFonts w:ascii="Courier New" w:hAnsi="Courier New"/>
          <w:sz w:val="17"/>
        </w:rPr>
        <w:t xml:space="preserve">Überschreiten um mehr als … Prozent der Differenz zwischen erreichbarer Leistungspunktzahl und Mindestleistungspunktzahl    Notenpunktzahl</w:t>
      </w:r>
    </w:p>
    <w:p>
      <w:r>
        <w:rPr>
          <w:rFonts w:ascii="Courier New" w:hAnsi="Courier New"/>
          <w:sz w:val="17"/>
        </w:rPr>
        <w:t xml:space="preserve">92    15</w:t>
      </w:r>
    </w:p>
    <w:p>
      <w:r>
        <w:rPr>
          <w:rFonts w:ascii="Courier New" w:hAnsi="Courier New"/>
          <w:sz w:val="17"/>
        </w:rPr>
        <w:t xml:space="preserve">82    14</w:t>
      </w:r>
    </w:p>
    <w:p>
      <w:r>
        <w:rPr>
          <w:rFonts w:ascii="Courier New" w:hAnsi="Courier New"/>
          <w:sz w:val="17"/>
        </w:rPr>
        <w:t xml:space="preserve">74    13</w:t>
      </w:r>
    </w:p>
    <w:p>
      <w:r>
        <w:rPr>
          <w:rFonts w:ascii="Courier New" w:hAnsi="Courier New"/>
          <w:sz w:val="17"/>
        </w:rPr>
        <w:t xml:space="preserve">64    12</w:t>
      </w:r>
    </w:p>
    <w:p>
      <w:r>
        <w:rPr>
          <w:rFonts w:ascii="Courier New" w:hAnsi="Courier New"/>
          <w:sz w:val="17"/>
        </w:rPr>
        <w:t xml:space="preserve">56    11</w:t>
      </w:r>
    </w:p>
    <w:p>
      <w:r>
        <w:rPr>
          <w:rFonts w:ascii="Courier New" w:hAnsi="Courier New"/>
          <w:sz w:val="17"/>
        </w:rPr>
        <w:t xml:space="preserve">46    10</w:t>
      </w:r>
    </w:p>
    <w:p>
      <w:r>
        <w:rPr>
          <w:rFonts w:ascii="Courier New" w:hAnsi="Courier New"/>
          <w:sz w:val="17"/>
        </w:rPr>
        <w:t xml:space="preserve">36    9</w:t>
      </w:r>
    </w:p>
    <w:p>
      <w:r>
        <w:rPr>
          <w:rFonts w:ascii="Courier New" w:hAnsi="Courier New"/>
          <w:sz w:val="17"/>
        </w:rPr>
        <w:t xml:space="preserve">28    8</w:t>
      </w:r>
    </w:p>
    <w:p>
      <w:r>
        <w:rPr>
          <w:rFonts w:ascii="Courier New" w:hAnsi="Courier New"/>
          <w:sz w:val="17"/>
        </w:rPr>
        <w:t xml:space="preserve">18    7</w:t>
      </w:r>
    </w:p>
    <w:p>
      <w:r>
        <w:rPr>
          <w:rFonts w:ascii="Courier New" w:hAnsi="Courier New"/>
          <w:sz w:val="17"/>
        </w:rPr>
        <w:t xml:space="preserve">8    6</w:t>
      </w:r>
    </w:p>
    <w:p>
      <w:r>
        <w:rPr>
          <w:rFonts w:ascii="Courier New" w:hAnsi="Courier New"/>
          <w:sz w:val="17"/>
        </w:rPr>
        <w:t xml:space="preserve">0    5</w:t>
      </w:r>
    </w:p>
    <w:p>
      <w:r>
        <w:t xml:space="preserve">Unterschreitet die erreichte Leistungspunktzahl die Mindestleistungspunktzahl, so werden die Notenpunktzahlen wie folgt vergeben:</w:t>
      </w:r>
    </w:p>
    <w:p>
      <w:r>
        <w:rPr>
          <w:rFonts w:ascii="Courier New" w:hAnsi="Courier New"/>
          <w:sz w:val="17"/>
        </w:rPr>
        <w:t xml:space="preserve">Unterschreiten der Mindestleistungspunktzahl um bis zu … Prozent    Notenpunktzahl</w:t>
      </w:r>
    </w:p>
    <w:p>
      <w:r>
        <w:rPr>
          <w:rFonts w:ascii="Courier New" w:hAnsi="Courier New"/>
          <w:sz w:val="17"/>
        </w:rPr>
        <w:t xml:space="preserve">20    4</w:t>
      </w:r>
    </w:p>
    <w:p>
      <w:r>
        <w:rPr>
          <w:rFonts w:ascii="Courier New" w:hAnsi="Courier New"/>
          <w:sz w:val="17"/>
        </w:rPr>
        <w:t xml:space="preserve">40    3</w:t>
      </w:r>
    </w:p>
    <w:p>
      <w:r>
        <w:rPr>
          <w:rFonts w:ascii="Courier New" w:hAnsi="Courier New"/>
          <w:sz w:val="17"/>
        </w:rPr>
        <w:t xml:space="preserve">50    2</w:t>
      </w:r>
    </w:p>
    <w:p>
      <w:r>
        <w:rPr>
          <w:rFonts w:ascii="Courier New" w:hAnsi="Courier New"/>
          <w:sz w:val="17"/>
        </w:rPr>
        <w:t xml:space="preserve">60    1</w:t>
      </w:r>
    </w:p>
    <w:p>
      <w:r>
        <w:rPr>
          <w:rFonts w:ascii="Courier New" w:hAnsi="Courier New"/>
          <w:sz w:val="17"/>
        </w:rPr>
        <w:t xml:space="preserve">100    0</w:t>
      </w:r>
    </w:p>
    <w:p>
      <w:r>
        <w:t xml:space="preserve">(3) Besteht ein schriftlicher Leistungsnachweis sowohl aus Antwort-Wahl-Aufgaben als auch aus anderen Aufgaben, werden die Lösungen der Antwort-Wahl-Aufgaben entsprechend den Absätzen 1 und 2 und § 17 Absatz 2 bis 5 bewertet und die übrigen Lösungen nach den §§ 12 und 15. Aus beiden Aufgabenteilen wird entsprechend ihrer Gewichtung die erreichte Notenpunktzahl des schriftlichen Leistungsnachweises durch die zuständige Stelle festgelegt.</w:t>
      </w:r>
    </w:p>
    <w:p>
      <w:r>
        <w:t xml:space="preserve">(4) Die Frage- oder Aufgabenstellungen im Antwort-Wahl-Verfahren sowie die Bewertungen müssen von mindestens zwei Personen entwickelt und gemeinsam festgelegt werden.</w:t>
      </w:r>
    </w:p>
    <w:p>
      <w:r>
        <w:t xml:space="preserve">(5) Leistungen, die im Antwort-Wahl-Verfahren erbracht werden, können automatisiert bewertet werden.</w:t>
      </w:r>
    </w:p>
    <w:p>
      <w:r>
        <w:t xml:space="preserve">(6) Wird eine automatisiert erfolgte Bewertung beanstandet, so ist die Bewertung des konkreten schriftlichen Leistungsnachweises durch die Lehrende oder den Lehrenden zu überprüfen. Bei der Beanstandung einer automatisiert erfolgten Bewertung einer Prüfungsarbeit ist die Bewertung von zwei Prüferinnen oder Prüfern, von denen eine oder einer Mitglied des Prüfungsausschusses sein soll, zu überprüfen.</w:t>
      </w:r>
    </w:p>
    <w:p>
      <w:r>
        <w:rPr>
          <w:color w:val="555555"/>
          <w:sz w:val="17"/>
        </w:rPr>
        <w:t xml:space="preserve">Zitiervorschlag: § 18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