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StBAPO 2022 — Lehrende</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oberste Landesbehörde oder die von ihr bestimmte Stelle bestellt die Lehrenden an den Bildungseinrichtungen. Die Bestellung kann auch durch die nach Landesrecht zuständige Stelle im Einvernehmen mit der obersten Landesbehörde vorgenommen werden.</w:t>
      </w:r>
    </w:p>
    <w:p>
      <w:r>
        <w:t xml:space="preserve">(2) Zu Lehrenden an einer Bildungseinrichtung können nur Personen bestellt werden, die hierzu pädagogisch und fachlich geeignet sind. Hauptamtlich Lehrende sollen zudem berufspädagogisch geschult sein.</w:t>
      </w:r>
    </w:p>
    <w:p>
      <w:r>
        <w:t xml:space="preserve">(3) Der Nachweis der fachlichen Eignung ist grundsätzlich dann erbracht, wenn die oder der Lehrende</w:t>
      </w:r>
    </w:p>
    <w:p>
      <w:pPr>
        <w:ind w:left="420"/>
      </w:pPr>
      <w:r>
        <w:t xml:space="preserve">1. mindestens vier Jahre eine berufliche Tätigkeit ausgeübt hat, die der Lehraufgabe förderlich ist, und</w:t>
      </w:r>
    </w:p>
    <w:p>
      <w:pPr>
        <w:ind w:left="420"/>
      </w:pPr>
      <w:r>
        <w:t xml:space="preserve">2. von den vier Jahren bei der Lehrtätigkeit in einem Steuerfach mindestens zwei Jahre in der Steuerverwaltung tätig gewesen ist.</w:t>
      </w:r>
    </w:p>
    <w:p>
      <w:r>
        <w:t xml:space="preserve">Für nebenamtlich oder nebenberuflich tätige Lehrende können Ausnahmen zugelassen werden.</w:t>
      </w:r>
    </w:p>
    <w:p>
      <w:r>
        <w:t xml:space="preserve">(4) Weitergehende landesrechtliche Regelungen für die Bestellung von Lehrenden an Fachhochschulen oder gleichstehenden Bildungseinrichtungen für den gehobenen Dienst bleiben unberührt.</w:t>
      </w:r>
    </w:p>
    <w:p>
      <w:r>
        <w:t xml:space="preserve">(5) Die Lehrenden sind ungeachtet der Pflicht zur eigenen Fortbildung berufspädagogisch und fachlich zu fördern. Haben hauptamtlich Lehrende mehrere Jahre ohne Unterbrechung eine Lehrtätigkeit ausgeübt, so müssen sie danach eine berufspraktische Tätigkeit in der Steuerverwaltung wahrnehmen.</w:t>
      </w:r>
    </w:p>
    <w:p>
      <w:r>
        <w:t xml:space="preserve">(6) Absatz 5 gilt für die hauptamtlich Lehrenden an der Bundesfinanzakademie entsprechend.</w:t>
      </w:r>
    </w:p>
    <w:p>
      <w:r>
        <w:rPr>
          <w:color w:val="555555"/>
          <w:sz w:val="17"/>
        </w:rPr>
        <w:t xml:space="preserve">Zitiervorschlag: § 10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