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StBAG — Bundesfinanzakademie</w:t>
      </w:r>
    </w:p>
    <w:p>
      <w:r>
        <w:rPr>
          <w:color w:val="555555"/>
          <w:sz w:val="18"/>
        </w:rPr>
        <w:t xml:space="preserve">Steuerbeamtenausbildungsgesetz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 unterhält zur Durchführung der ergänzenden Studien sowie zur Fortbildung der Beamten des höheren Dienstes der Steuerverwaltung der Länder eine Bundesfinanzakademie.</w:t>
      </w:r>
    </w:p>
    <w:p>
      <w:r>
        <w:t xml:space="preserve">(2) Bei der Entwicklung von bundeseinheitlichen Fortbildungsmaßnahmen zu Themen von grundsätzlicher Bedeutung wirken die Bundesfinanzakademie und die Länder zusammen.</w:t>
      </w:r>
    </w:p>
    <w:p>
      <w:r>
        <w:rPr>
          <w:color w:val="555555"/>
          <w:sz w:val="17"/>
        </w:rPr>
        <w:t xml:space="preserve">Zitiervorschlag: § 7 StBAG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