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StAuskV</w:t>
      </w:r>
    </w:p>
    <w:p>
      <w:r>
        <w:rPr>
          <w:color w:val="555555"/>
          <w:sz w:val="18"/>
        </w:rPr>
        <w:t xml:space="preserve">Steuer-Auskunftsverordnung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89 Abs. 2 Satz 4 der Abgabenordnung in der Fassung der Bekanntmachung vom 1. Oktober 2002 (BGBl. I S. 3866, 2003 I S. 61), der zuletzt durch Artikel 10 Nr. 9 des Gesetzes vom 13. Dezember 2006 (BGBl. I S. 2878)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StAuskV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https://recht.nulegal.eu/gesetze/StAuskV/eingangsformel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