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StAuskV — Anwendungsvorschrift</w:t>
      </w:r>
    </w:p>
    <w:p>
      <w:r>
        <w:rPr>
          <w:color w:val="555555"/>
          <w:sz w:val="18"/>
        </w:rPr>
        <w:t xml:space="preserve">Steuer-Auskunftsverordnung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§ 1 Absatz 2 Satz 1, Absatz 3 und § 2 Absatz 2 in der am 20. Juli 2017 geltenden Fassung sind erstmals auf Anträge auf Erteilung einer verbindlichen Auskunft anzuwenden, die nach dem 1. September 2017 bei der zuständigen Finanzbehörde eingegangen sind. § 1 Absatz 2 Satz 1 Nummer 3 bis 5 und Absatz 3 Satz 1 Nummer 4 und 5 in der am 23. Dezember 2022 geltenden Fassung ist erstmals auf Anträge auf Erteilung einer verbindlichen Auskunft anzuwenden, die nach dem 31. Dezember 2022 bei der zuständigen Finanzbehörde eingegangen sind.</w:t>
      </w:r>
    </w:p>
    <w:p>
      <w:r>
        <w:rPr>
          <w:color w:val="555555"/>
          <w:sz w:val="17"/>
        </w:rPr>
        <w:t xml:space="preserve">Zitiervorschlag: § 3 StAuskV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https://recht.nulegal.eu/gesetze/StAuskV/3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