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StAuskV — Bindung einer verbindlichen Auskunft</w:t>
      </w:r>
    </w:p>
    <w:p>
      <w:r>
        <w:rPr>
          <w:color w:val="555555"/>
          <w:sz w:val="18"/>
        </w:rPr>
        <w:t xml:space="preserve">Steuer-Auskunftsverordnung</w:t>
      </w:r>
    </w:p>
    <w:p>
      <w:r>
        <w:rPr>
          <w:color w:val="555555"/>
          <w:sz w:val="18"/>
        </w:rPr>
        <w:t xml:space="preserve">Stand: 10.06.2019 (konsolidierte Textfassung, kein amtliches Inkrafttretensdatum)</w:t>
      </w:r>
    </w:p>
    <w:p>
      <w:r>
        <w:t xml:space="preserve">(1) Die von der nach § 89 Abs. 2 Satz 2 und 3 der Abgabenordnung zuständigen Finanzbehörde erteilte verbindliche Auskunft ist für die Besteuerung des Antragstellers oder in den Fällen des § 1 Absatz 4 für die Besteuerung der Person, Personenvereinigung oder Vermögensmasse, die den Sachverhalt verwirklicht hat, bindend, wenn der später verwirklichte Sachverhalt von dem der Auskunft zugrunde gelegten Sachverhalt nicht oder nur unwesentlich abweicht. Die verbindliche Auskunft ist nicht bindend, wenn sie zuungunsten des Steuerpflichtigen dem geltenden Recht widerspricht.</w:t>
      </w:r>
    </w:p>
    <w:p>
      <w:r>
        <w:t xml:space="preserve">(2) Eine nach § 1 Absatz 3 erteilte verbindliche Auskunft ist für die Besteuerung aller Beteiligten einheitlich bindend, wenn der später verwirklichte Sachverhalt von dem Sachverhalt, der der Auskunft zugrunde gelegt wurde, nicht oder nur unwesentlich abweicht. Widerspricht die einheitlich erteilte verbindliche Auskunft dem geltenden Recht und beruft sich mindestens ein Beteiligter hierauf, entfällt die Bindungswirkung der verbindlichen Auskunft einheitlich gegenüber allen Beteiligten.</w:t>
      </w:r>
    </w:p>
    <w:p>
      <w:r>
        <w:t xml:space="preserve">(3) Die Bindungswirkung der verbindlichen Auskunft entfällt ab dem Zeitpunkt, in dem die Rechtsvorschriften, auf denen die Auskunft beruht, aufgehoben oder geändert werden.</w:t>
      </w:r>
    </w:p>
    <w:p>
      <w:r>
        <w:t xml:space="preserve">(4) Unbeschadet der §§ 129 bis 131 der Abgabenordnung kann eine verbindliche Auskunft mit Wirkung für die Zukunft aufgehoben oder geändert werden, wenn sich herausstellt, dass die erteilte Auskunft unrichtig war.</w:t>
      </w:r>
    </w:p>
    <w:p>
      <w:r>
        <w:rPr>
          <w:color w:val="555555"/>
          <w:sz w:val="17"/>
        </w:rPr>
        <w:t xml:space="preserve">Zitiervorschlag: § 2 StAuskV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https://recht.nulegal.eu/gesetze/StAuskV/2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