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StAbwV — Inkrafttreten</w:t>
      </w:r>
    </w:p>
    <w:p>
      <w:r>
        <w:rPr>
          <w:color w:val="555555"/>
          <w:sz w:val="18"/>
        </w:rPr>
        <w:t xml:space="preserve">Steueroasen-Abwehrverordnung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StAbwV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