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StAbwV — Anwendungsbereich</w:t>
      </w:r>
    </w:p>
    <w:p>
      <w:r>
        <w:rPr>
          <w:color w:val="555555"/>
          <w:sz w:val="18"/>
        </w:rPr>
        <w:t xml:space="preserve">Steueroasen-Abwehrverordnung</w:t>
      </w:r>
    </w:p>
    <w:p>
      <w:r>
        <w:rPr>
          <w:color w:val="555555"/>
          <w:sz w:val="18"/>
        </w:rPr>
        <w:t xml:space="preserve">Stand: 24.12.2021 (konsolidierte Textfassung, kein amtliches Inkrafttretensdatum)</w:t>
      </w:r>
    </w:p>
    <w:p>
      <w:r>
        <w:t xml:space="preserve">Diese Verordnung benennt</w:t>
      </w:r>
    </w:p>
    <w:p>
      <w:pPr>
        <w:ind w:left="420"/>
      </w:pPr>
      <w:r>
        <w:t xml:space="preserve">1. die nicht kooperativen Steuerhoheitsgebiete nach § 2 Absatz 1 des Gesetzes, die in der jeweils geltenden EU-Liste der nicht kooperativen Länder und Gebiete für Steuerzwecke genannt sind und</w:t>
      </w:r>
    </w:p>
    <w:p>
      <w:pPr>
        <w:ind w:left="420"/>
      </w:pPr>
      <w:r>
        <w:t xml:space="preserve">2. den Zeitpunkt, ab dem ein bisher als nicht kooperativ genanntes Steuerhoheitsgebiet die Voraussetzungen des § 2 Absatz 1 des Gesetzes nicht länger erfüllt.</w:t>
      </w:r>
    </w:p>
    <w:p>
      <w:r>
        <w:rPr>
          <w:color w:val="555555"/>
          <w:sz w:val="17"/>
        </w:rPr>
        <w:t xml:space="preserve">Zitiervorschlag: § 1 StAbwV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https://recht.nulegal.eu/gesetze/StAbwV/1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