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StAbwG — Verschärfte Hinzurechnungsbesteuerung</w:t>
      </w:r>
    </w:p>
    <w:p>
      <w:r>
        <w:rPr>
          <w:color w:val="555555"/>
          <w:sz w:val="18"/>
        </w:rPr>
        <w:t xml:space="preserve">Steueroasen-Abwehrgesetz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Sind unbeschränkt steuerpflichtige Personen an einer ausländischen Gesellschaft im Sinne des § 7 Absatz 1 des Außensteuergesetzes gemäß § 7 des Außensteuergesetzes beteiligt, die in einem nicht kooperativen Steuerhoheitsgebiet ansässig ist, ist die ausländische Gesellschaft über § 8 Absatz 1 des Außensteuergesetzes hinaus und ungeachtet von § 8 Absatz 2 bis 4 und § 9 des Außensteuergesetzes Zwischengesellschaft für ihre gesamten Einkünfte, die insgesamt einer niedrigen Besteuerung im Sinne des § 8 Absatz 5 des Außensteuergesetzes unterliegen. Satz 1 gilt nicht, soweit dessen Anwendung zu niedrigeren steuerpflichtigen Einkünften führt als ohne dessen Geltung. Für in einem nicht kooperativen Steuerhoheitsgebiet gelegene Betriebsstätten eines unbeschränkt Steuerpflichtigen gilt § 20 Absatz 2 Satz 1 des Außensteuergesetzes mit der Maßgabe, dass dieser auf sämtliche Einkünfte der Betriebstätte anzuwenden ist; § 20 Absatz 2 Satz 2 des Außensteuergesetzes ist nicht anzuwenden und Satz 2 gilt entsprechend.</w:t>
      </w:r>
    </w:p>
    <w:p>
      <w:r>
        <w:rPr>
          <w:color w:val="555555"/>
          <w:sz w:val="17"/>
        </w:rPr>
        <w:t xml:space="preserve">Zitiervorschlag: § 9 StAbwG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https://recht.nulegal.eu/gesetze/StAbwG/9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