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StAbwG — Verbot des Betriebsausgaben- und Werbungskostenabzugs</w:t>
      </w:r>
    </w:p>
    <w:p>
      <w:r>
        <w:rPr>
          <w:color w:val="555555"/>
          <w:sz w:val="18"/>
        </w:rPr>
        <w:t xml:space="preserve">Steueroasen-Abwehrgesetz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Aufwendungen aus Geschäftsvorgängen im Sinne des § 7 dürfen den Gewinn oder den Überschuss der Einnahmen über die Werbungskosten nicht mindern. Dies gilt nicht, soweit</w:t>
      </w:r>
    </w:p>
    <w:p>
      <w:pPr>
        <w:ind w:left="420"/>
      </w:pPr>
      <w:r>
        <w:t xml:space="preserve">1. die den Aufwendungen entsprechenden Erträge der unbeschränkten oder beschränkten Steuerpflicht nach den Vorschriften des Einkommensteuergesetzes, Körperschaftsteuergesetzes oder dieses Gesetzes unterliegen;</w:t>
      </w:r>
    </w:p>
    <w:p>
      <w:pPr>
        <w:ind w:left="420"/>
      </w:pPr>
      <w:r>
        <w:t xml:space="preserve">2. auf Grund der aus den Aufwendungen resultierenden Einnahmen ein Hinzurechnungsbetrag im Sinne des § 10 Absatz 1 Satz 1 des Außensteuergesetzes anzusetzen ist; oder</w:t>
      </w:r>
    </w:p>
    <w:p>
      <w:pPr>
        <w:ind w:left="420"/>
      </w:pPr>
      <w:r>
        <w:t xml:space="preserve">3. die Aufwendungen stammen aus</w:t>
      </w:r>
    </w:p>
    <w:p>
      <w:pPr>
        <w:ind w:left="780"/>
      </w:pPr>
      <w:r>
        <w:t xml:space="preserve">a) Inhaberschuldverschreibungen, die durch eine Globalurkunde verbrieft und im Rahmen der Girosammelverwahrung bei einem Zentralverwahrer verwahrt werden und mit diesen vergleichbare Schuldtitel, die an einer anerkannten Börse im Sinne des § 138 Absatz 2 Satz 1 Nummer 3 Buchstabe b Satz 2 der Abgabenordnung handelbar sind; oder</w:t>
      </w:r>
    </w:p>
    <w:p>
      <w:pPr>
        <w:ind w:left="780"/>
      </w:pPr>
      <w:r>
        <w:t xml:space="preserve">b) Versicherungs- oder Rückversicherungsleistungen. Dies gilt nicht für Versicherungs- oder Rückversicherungsprämien.</w:t>
      </w:r>
    </w:p>
    <w:p>
      <w:r>
        <w:rPr>
          <w:color w:val="555555"/>
          <w:sz w:val="17"/>
        </w:rPr>
        <w:t xml:space="preserve">Zitiervorschlag: § 8 StAbwG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