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StAbwG — Unfairer Steuerwettbewerb</w:t>
      </w:r>
    </w:p>
    <w:p>
      <w:r>
        <w:rPr>
          <w:color w:val="555555"/>
          <w:sz w:val="18"/>
        </w:rPr>
        <w:t xml:space="preserve">Steueroasen-Abwehrgesetz</w:t>
      </w:r>
    </w:p>
    <w:p>
      <w:r>
        <w:rPr>
          <w:color w:val="555555"/>
          <w:sz w:val="18"/>
        </w:rPr>
        <w:t xml:space="preserve">Stand: 01.07.2021 (konsolidierte Textfassung, kein amtliches Inkrafttretensdatum)</w:t>
      </w:r>
    </w:p>
    <w:p>
      <w:r>
        <w:t xml:space="preserve">(1) Ein Steuerhoheitsgebiet ist nicht kooperativ, wenn es unfairen Steuerwettbewerb betreibt.</w:t>
      </w:r>
    </w:p>
    <w:p>
      <w:r>
        <w:t xml:space="preserve">(2) Ein Steuerhoheitsgebiet betreibt unfairen Steuerwettbewerb, wenn es Regelungen, einschließlich Rechts-, Verwaltungsvorschriften und Verwaltungspraktiken auf dem Gebiet des Steuerrechts, anwendet, die gemessen an den üblicherweise in dem betreffenden Steuerhoheitsgebiet geltenden Besteuerungsniveaus eine deutlich niedrigere Effektivbesteuerung, einschließlich einer Nullbesteuerung, bewirken. Diese Regelungen sind insbesondere dann als unfairer Steuerwettbewerb anzusehen, wenn sie</w:t>
      </w:r>
    </w:p>
    <w:p>
      <w:pPr>
        <w:ind w:left="420"/>
      </w:pPr>
      <w:r>
        <w:t xml:space="preserve">1. Vorteile ausschließlich Gebietsfremden oder für Transaktionen mit Gebietsfremden gewähren;</w:t>
      </w:r>
    </w:p>
    <w:p>
      <w:pPr>
        <w:ind w:left="420"/>
      </w:pPr>
      <w:r>
        <w:t xml:space="preserve">2. Vorteile gewähren, die von der inländischen Wirtschaft des nicht kooperativen Steuerhoheitsgebietes nicht in Anspruch genommen werden können, so dass sie keine Auswirkungen auf dessen Steuergrundlage haben;</w:t>
      </w:r>
    </w:p>
    <w:p>
      <w:pPr>
        <w:ind w:left="420"/>
      </w:pPr>
      <w:r>
        <w:t xml:space="preserve">3. Vorteile von einer tatsächlichen wirtschaftlichen Tätigkeit oder Präsenz in dem diese Vorteile gewährenden Steuerhoheitsgebiet entkoppeln und die steuerlichen Vorteile auch ohne eine derartige Tätigkeit oder Präsenz gewährt werden;</w:t>
      </w:r>
    </w:p>
    <w:p>
      <w:pPr>
        <w:ind w:left="420"/>
      </w:pPr>
      <w:r>
        <w:t xml:space="preserve">4. bei der Gewinnermittlung bei Aktivitäten innerhalb einer multinationalen Unternehmensgruppe von international allgemein anerkannten Grundsätzen, insbesondere denen der OECD, abweichen; oder</w:t>
      </w:r>
    </w:p>
    <w:p>
      <w:pPr>
        <w:ind w:left="420"/>
      </w:pPr>
      <w:r>
        <w:t xml:space="preserve">5. intransparent, insbesondere nicht allgemein vorhersehbar oder hinreichend dokumentiert sind, einschließlich der Fälle, in denen von den Regelungen in der Handhabung durch die Verwaltungsbehörden bewusst abgewichen wird, um gesetzlich nicht vorgesehene Vorteile zu gewähren.</w:t>
      </w:r>
    </w:p>
    <w:p>
      <w:r>
        <w:t xml:space="preserve">(3) Für ein Steuerhoheitsgebiet, das über kein Körperschaftsteuersystem oder über ein Körperschaftsteuersystem verfügt, dessen Anwendung zu einem effektiven Körperschaftsteuersatz von null oder nahe null führt (Nullsatzjurisdiktion), sind Regelungen sowie Strukturen als unfairer Steuerwettbewerb anzusehen, wenn sie zum Ziel haben, Gewinne anzuziehen, die keine reale Wirtschaftstätigkeit in dem Steuerhoheitsgebiet abbilden. Regelungen und Strukturen sind insbesondere dann als unfairer Steuerwettbewerb anzusehen, wenn hierdurch eine den Regelungen unter Absatz 2 Satz 2 Nummer 1 bis 5 entsprechende Wirkung entsteht. Für die Beurteilung der Wirkung ist unerheblich, ob es sich um steuerliche oder nichtsteuerliche Regelungen und Strukturen in dem betreffenden Steuerhoheitsgebiet handelt. Allein der Umstand, dass ein Steuerhoheitsgebiet eine Nullsatzjurisdiktion ist, führt nicht dazu, dass die betreffenden Regelungen oder Strukturen dieses Steuerhoheitsgebietes als unfairer Steuerwettbewerb anzusehen sind.</w:t>
      </w:r>
    </w:p>
    <w:p>
      <w:r>
        <w:rPr>
          <w:color w:val="555555"/>
          <w:sz w:val="17"/>
        </w:rPr>
        <w:t xml:space="preserve">Zitiervorschlag: § 5 StAbwG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