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StAbwG — Verordnungsermächtigung</w:t>
      </w:r>
    </w:p>
    <w:p>
      <w:r>
        <w:rPr>
          <w:color w:val="555555"/>
          <w:sz w:val="18"/>
        </w:rPr>
        <w:t xml:space="preserve">Steueroasen-Abwehrgesetz</w:t>
      </w:r>
    </w:p>
    <w:p>
      <w:r>
        <w:rPr>
          <w:color w:val="555555"/>
          <w:sz w:val="18"/>
        </w:rPr>
        <w:t xml:space="preserve">Stand: 01.07.2021 (konsolidierte Textfassung, kein amtliches Inkrafttretensdatum)</w:t>
      </w:r>
    </w:p>
    <w:p>
      <w:r>
        <w:t xml:space="preserve">(1) Zur Sicherstellung einer einheitlichen Rechtsanwendung erlassen das Bundesministerium der Finanzen und das Bundesministerium für Wirtschaft und Energie mit Zustimmung des Bundesrates eine Rechtsverordnung, in der genannt sind</w:t>
      </w:r>
    </w:p>
    <w:p>
      <w:pPr>
        <w:ind w:left="420"/>
      </w:pPr>
      <w:r>
        <w:t xml:space="preserve">1. die Steuerhoheitsgebiete, die nach Maßgabe des § 2 Absatz 1 nicht kooperative Steuerhoheitsgebiete sind, wenn sie in der im Amtsblatt der Europäischen Union veröffentlichten EU-Liste nicht kooperativer Länder und Gebiete für Steuerzwecke in der jeweils aktuellen Fassung genannt sind; und</w:t>
      </w:r>
    </w:p>
    <w:p>
      <w:pPr>
        <w:ind w:left="420"/>
      </w:pPr>
      <w:r>
        <w:t xml:space="preserve">2. der Zeitpunkt, ab dem ein bisher als nicht kooperativ genanntes Steuerhoheitsgebiet die Voraussetzungen des § 2 Absatz 1 nicht länger erfüllt.</w:t>
      </w:r>
    </w:p>
    <w:p>
      <w:r>
        <w:t xml:space="preserve">Die Rechtsverordnung ist für die Anwendung der Abschnitte 3 und 4 maßgeblich.</w:t>
      </w:r>
    </w:p>
    <w:p>
      <w:r>
        <w:t xml:space="preserve">(2) Wird in der Rechtsverordnung nach Absatz 1 ein Steuerhoheitsgebiet als nicht kooperatives Steuerhoheitsgebiet genannt, finden die Abschnitte 3 und 4 in Bezug auf dieses Steuerhoheitsgebiet ab dem Beginn des Folgejahres des Inkrafttretens der Rechtsverordnung Anwendung. Eine Ausnahme soll gelten für § 8, der ab dem Beginn des vierten Jahres nach Inkrafttreten, sowie für § 11, der ab Beginn des dritten Jahres nach Inkrafttreten der Rechtsverordnung, Anwendung findet. Weicht das Wirtschaftsjahr der Person, die Adressat der Maßnahmen der Abschnitte 3 und 4 ist, vom Kalenderjahr ab, gelten die Sätze 1 und 2 mit der Maßgabe, dass auf den Beginn des folgenden Wirtschaftsjahres abzustellen ist.</w:t>
      </w:r>
    </w:p>
    <w:p>
      <w:r>
        <w:t xml:space="preserve">(3) Wird in der Rechtsverordnung nach Absatz 1 ein Steuerhoheitsgebiet nicht länger als nicht kooperatives Steuerhoheitsgebiet genannt, finden die Abschnitte 3 und 4 in Bezug auf dieses Steuerhoheitsgebiet bereits ab dem 1. Januar des Kalenderjahres, in dessen Verlauf der in der Rechtsverordnung genannte Zeitpunkt des Wegfalls der Voraussetzungen fällt, keine Anwendung mehr. Weicht das Wirtschaftsjahr der Person, die Adressat der Maßnahmen der Abschnitte 3 und 4 ist, vom Kalenderjahr ab, gilt Satz 1 mit der Maßgabe, dass auf den Beginn des Wirtschaftsjahres abzustellen ist.</w:t>
      </w:r>
    </w:p>
    <w:p>
      <w:r>
        <w:rPr>
          <w:color w:val="555555"/>
          <w:sz w:val="17"/>
        </w:rPr>
        <w:t xml:space="preserve">Zitiervorschlag: § 3 StAbwG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https://recht.nulegal.eu/gesetze/StAbwG/3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