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StAbwG — Begriffsbestimmungen</w:t>
      </w:r>
    </w:p>
    <w:p>
      <w:r>
        <w:rPr>
          <w:color w:val="555555"/>
          <w:sz w:val="18"/>
        </w:rPr>
        <w:t xml:space="preserve">Steueroasen-Abwehrgesetz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Ein Staat oder ein Gebiet (Steuerhoheitsgebiet) ist im Sinne dieses Gesetzes nicht kooperativ, wenn das Steuerhoheitsgebiet eine der Voraussetzungen des § 4 Absatz 1, des § 5 Absatz 1 oder des § 6 erfüllt.</w:t>
      </w:r>
    </w:p>
    <w:p>
      <w:r>
        <w:t xml:space="preserve">(2) Ansässig in einem nicht kooperativen Steuerhoheitsgebiet im Sinne dieses Gesetzes sind</w:t>
      </w:r>
    </w:p>
    <w:p>
      <w:pPr>
        <w:ind w:left="420"/>
      </w:pPr>
      <w:r>
        <w:t xml:space="preserve">1. natürliche Personen, wenn sie einen Wohnsitz (§ 8 der Abgabenordnung) oder ihren gewöhnlichen Aufenthalt (§ 9 der Abgabenordnung);</w:t>
      </w:r>
    </w:p>
    <w:p>
      <w:pPr>
        <w:ind w:left="420"/>
      </w:pPr>
      <w:r>
        <w:t xml:space="preserve">2. Körperschaften, Personenvereinigungen und Vermögensmassen, wenn sie einen Sitz (§ 11 der Abgabenordnung) oder ihren Ort der Geschäftsleitung (§ 10 der Abgabenordnung)</w:t>
      </w:r>
    </w:p>
    <w:p>
      <w:r>
        <w:t xml:space="preserve">in einem nicht kooperativen Steuerhoheitsgebiet haben.</w:t>
      </w:r>
    </w:p>
    <w:p>
      <w:r>
        <w:rPr>
          <w:color w:val="555555"/>
          <w:sz w:val="17"/>
        </w:rPr>
        <w:t xml:space="preserve">Zitiervorschlag: § 2 StAbwG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https://recht.nulegal.eu/gesetze/StAbwG/2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