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StAbwG — Gesteigerte Mitwirkungspflichten</w:t>
      </w:r>
    </w:p>
    <w:p>
      <w:r>
        <w:rPr>
          <w:color w:val="555555"/>
          <w:sz w:val="18"/>
        </w:rPr>
        <w:t xml:space="preserve">Steueroasen-Abwehrgesetz</w:t>
      </w:r>
    </w:p>
    <w:p>
      <w:r>
        <w:rPr>
          <w:color w:val="555555"/>
          <w:sz w:val="18"/>
        </w:rPr>
        <w:t xml:space="preserve">Stand: 01.01.2023 (konsolidierte Textfassung, kein amtliches Inkrafttretensdatum)</w:t>
      </w:r>
    </w:p>
    <w:p>
      <w:r>
        <w:t xml:space="preserve">(1) Der Steuerpflichtige hat über die nach § 90 der Abgabenordnung bestehenden Mitwirkungspflichten hinaus eine gesteigerte Mitwirkungspflicht. Die gesteigerte Mitwirkungspflicht umfasst die in den folgenden Absätzen geregelten Verpflichtungen.</w:t>
      </w:r>
    </w:p>
    <w:p>
      <w:r>
        <w:t xml:space="preserve">(2) Der Steuerpflichtige hat für Geschäftsvorgänge im Sinne des § 7 folgende Aufzeichnungen zu erstellen:</w:t>
      </w:r>
    </w:p>
    <w:p>
      <w:pPr>
        <w:ind w:left="420"/>
      </w:pPr>
      <w:r>
        <w:t xml:space="preserve">1. Darstellung der Geschäftsbeziehungen, Übersicht über Art und Umfang dieser Geschäftsbeziehungen, insbesondere Wareneinkauf, Dienstleistungen, Darlehensverhältnisse, Versicherungsverhältnisse, Nutzungsüberlassungen sowie Kostenumlagen;</w:t>
      </w:r>
    </w:p>
    <w:p>
      <w:pPr>
        <w:ind w:left="420"/>
      </w:pPr>
      <w:r>
        <w:t xml:space="preserve">2. Verträge und vereinbarte Vertragsbedingungen, die den Geschäftsbeziehungen zugrunde liegen, und ihre Veränderung innerhalb des Wirtschaftsjahres;</w:t>
      </w:r>
    </w:p>
    <w:p>
      <w:pPr>
        <w:ind w:left="420"/>
      </w:pPr>
      <w:r>
        <w:t xml:space="preserve">3. Auflistung von Vereinbarungen mit Bezug zu immateriellen Werten, einschließlich Kostenumlagevereinbarungen sowie Forschungsdienstleistungsvereinbarungen und Lizenzvereinbarungen, sowie Auflistung der immateriellen Werte, die der Steuerpflichtige im Rahmen der betreffenden Geschäftsbeziehungen nutzt oder zur Nutzung überlässt;</w:t>
      </w:r>
    </w:p>
    <w:p>
      <w:pPr>
        <w:ind w:left="420"/>
      </w:pPr>
      <w:r>
        <w:t xml:space="preserve">4. die von den Beteiligten im Rahmen der Geschäftsbeziehungen ausgeübten Funktionen und übernommenen Risiken sowie deren Veränderungen innerhalb des Wirtschaftsjahres;</w:t>
      </w:r>
    </w:p>
    <w:p>
      <w:pPr>
        <w:ind w:left="420"/>
      </w:pPr>
      <w:r>
        <w:t xml:space="preserve">5. die eingesetzten wesentlichen Vermögenswerte;</w:t>
      </w:r>
    </w:p>
    <w:p>
      <w:pPr>
        <w:ind w:left="420"/>
      </w:pPr>
      <w:r>
        <w:t xml:space="preserve">6. die gewählten Geschäftsstrategien;</w:t>
      </w:r>
    </w:p>
    <w:p>
      <w:pPr>
        <w:ind w:left="420"/>
      </w:pPr>
      <w:r>
        <w:t xml:space="preserve">7. die Markt- und Wettbewerbsverhältnisse, die für die Besteuerung von Bedeutung sind;</w:t>
      </w:r>
    </w:p>
    <w:p>
      <w:pPr>
        <w:ind w:left="420"/>
      </w:pPr>
      <w:r>
        <w:t xml:space="preserve">8. die natürlichen Personen, die unmittelbar oder mittelbar Gesellschafter oder Anteilseigner einer Gesellschaft in dem nicht kooperativen Steuerhoheitsgebiet sind, zu dem der Steuerpflichtige in Geschäftsbeziehung steht; das gilt nicht, soweit mit der Hauptgattung der Aktien der ausländischen Gesellschaft ein wesentlicher und regelmäßiger Handel an einer Börse in einem Mitgliedstaat der Europäischen Union oder in einem Vertragsstaat des EWR-Abkommens stattfindet oder an einer Börse, die in einem anderen Staat nach § 193 Absatz 1 Satz 1 Nummer 2 und 4 des Kapitalanlagegesetzbuchs von der Bundesanstalt für Finanzdienstleistungsaufsicht zugelassen ist.</w:t>
      </w:r>
    </w:p>
    <w:p>
      <w:r>
        <w:t xml:space="preserve">Die Aufzeichnungen nach Satz 1 sind spätestens ein Jahr nach Ablauf des betreffenden Kalenderjahres oder Wirtschaftsjahres zu erstellen und an die örtlich zuständige Finanzbehörde sowie in den Fällen, in denen die Voraussetzungen des § 138a der Abgabenordnung erfüllt sind, dem Bundeszentralamt für Steuern, zu übermitteln. Daneben sind die Aufzeichnungen auf Anforderung entsprechend § 90 Absatz 4 Satz 1 und 3 der Abgabenordnung vorzulegen.</w:t>
      </w:r>
    </w:p>
    <w:p>
      <w:r>
        <w:t xml:space="preserve">(3) Nach Aufforderung der zuständigen Finanzbehörde hat der Steuerpflichtige die Richtigkeit und Vollständigkeit der Angaben gemäß Absatz 2 an Eides statt zu versichern und die Finanzbehörde zu bevollmächtigen, in seinem Namen mögliche Auskunftsansprüche gegenüber den von der Finanzbehörde benannten Personen, zu denen Geschäftsvorgänge im Sinne des § 7 bestehen, außergerichtlich und gerichtlich geltend zu machen. § 95 der Abgabenordnung bleibt unberührt.</w:t>
      </w:r>
    </w:p>
    <w:p>
      <w:r>
        <w:rPr>
          <w:color w:val="555555"/>
          <w:sz w:val="17"/>
        </w:rPr>
        <w:t xml:space="preserve">Zitiervorschlag: § 12 StAbwG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https://recht.nulegal.eu/gesetze/StAbwG/12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