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StAbwG — Quellensteuermaßnahmen</w:t>
      </w:r>
    </w:p>
    <w:p>
      <w:r>
        <w:rPr>
          <w:color w:val="555555"/>
          <w:sz w:val="18"/>
        </w:rPr>
        <w:t xml:space="preserve">Steueroasen-Abwehrgesetz</w:t>
      </w:r>
    </w:p>
    <w:p>
      <w:r>
        <w:rPr>
          <w:color w:val="555555"/>
          <w:sz w:val="18"/>
        </w:rPr>
        <w:t xml:space="preserve">Stand: 23.12.2022 (konsolidierte Textfassung, kein amtliches Inkrafttretensdatum)</w:t>
      </w:r>
    </w:p>
    <w:p>
      <w:r>
        <w:t xml:space="preserve">(1) Über § 49 des Einkommensteuergesetzes hinaus liegen steuerpflichtige Einkünfte derjenigen natürlichen Personen sowie derjenigen Körperschaften, Personenvereinigungen oder Vermögensmassen, die in einem nicht kooperativen Steuerhoheitsgebiet ansässig sind, auch vor, soweit sie Einkünfte erzielen aus</w:t>
      </w:r>
    </w:p>
    <w:p>
      <w:pPr>
        <w:ind w:left="420"/>
      </w:pPr>
      <w:r>
        <w:t xml:space="preserve">1. Finanzierungsbeziehungen. Inhaberschuldverschreibungen, die durch eine Globalurkunde verbrieft und im Rahmen der Girosammelverwahrung bei einem Zentralverwahrer verwahrt werden und mit diesen vergleichbare Schuldtitel, die an einer anerkannten Börse im Sinne des § 138 Absatz 2 Satz 1 Nummer 3 Buchstabe b Satz 2 der Abgabenordnung handelbar sind, gelten nicht als Finanzierungsbeziehungen;</w:t>
      </w:r>
    </w:p>
    <w:p>
      <w:pPr>
        <w:ind w:left="420"/>
      </w:pPr>
      <w:r>
        <w:t xml:space="preserve">2. Versicherungs- oder Rückversicherungsprämien;</w:t>
      </w:r>
    </w:p>
    <w:p>
      <w:pPr>
        <w:ind w:left="420"/>
      </w:pPr>
      <w:r>
        <w:t xml:space="preserve">3. der Erbringung von Dienstleistungen, soweit sie nicht bereits von den Nummern 1 und 2 erfasst sind. Nutzungsüberlassungen gelten nicht als Erbringung von Dienstleistungen;</w:t>
      </w:r>
    </w:p>
    <w:p>
      <w:pPr>
        <w:ind w:left="420"/>
      </w:pPr>
      <w:r>
        <w:t xml:space="preserve">4. dem Handel mit Waren oder Dienstleistungen im Sinne der Nummer 3 oder</w:t>
      </w:r>
    </w:p>
    <w:p>
      <w:pPr>
        <w:ind w:left="420"/>
      </w:pPr>
      <w:r>
        <w:t xml:space="preserve">5. der Vermietung und Verpachtung oder der Veräußerung von Rechten, die in ein inländisches öffentliches Buch oder Register eingetragen sind.</w:t>
      </w:r>
    </w:p>
    <w:p>
      <w:r>
        <w:t xml:space="preserve">Steuerpflichtige Einkünfte nach Satz 1 liegen bei dessen Nummern 1 bis 4 nur vor, wenn sie nach § 2 Absatz 1 Satz 1 erster Halbsatz des Einkommensteuergesetzes bei unbeschränkt Steuerpflichtigen der Besteuerung unterlägen und die dem Steuerpflichtigen hierbei gewährten Vergütungen als Betriebsausgaben oder Werbungskosten eines anderen unbeschränkt Steuerpflichtigen ungeachtet des § 8 Satz 1 bei dessen Veranlagung zur Einkommen- oder Körperschaftsteuer ungeachtet der Wahl der Gewinnermittlungsart berücksichtigt werden können.</w:t>
      </w:r>
    </w:p>
    <w:p>
      <w:r>
        <w:t xml:space="preserve">(2) § 50a Absatz 1, 2 Satz 1 und 2 und Absatz 3 bis 5 des Einkommensteuergesetzes und die §§ 73c bis 73g der Einkommensteuer-Durchführungsverordnung sowie die weiteren gesetzlichen Vorschriften, die an den Steuerabzug auf Grund des § 50a des Einkommensteuergesetzes anknüpfen, gelten für die Vergütungen im Sinne des Absatzes 1 Satz 1 entsprechend. Dabei ist § 50a Absatz 2 Satz 1 des Einkommensteuergesetzes mit der Maßgabe anzuwenden, dass der Steuerabzug 15 Prozent der gesamten Einnahmen beträgt.</w:t>
      </w:r>
    </w:p>
    <w:p>
      <w:r>
        <w:rPr>
          <w:color w:val="555555"/>
          <w:sz w:val="17"/>
        </w:rPr>
        <w:t xml:space="preserve">Zitiervorschlag: § 10 StAbwG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https://recht.nulegal.eu/gesetze/StAbwG/10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