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StAbwG — Anwendungsbereich</w:t>
      </w:r>
    </w:p>
    <w:p>
      <w:r>
        <w:rPr>
          <w:color w:val="555555"/>
          <w:sz w:val="18"/>
        </w:rPr>
        <w:t xml:space="preserve">Steueroasen-Abwehrgesetz</w:t>
      </w:r>
    </w:p>
    <w:p>
      <w:r>
        <w:rPr>
          <w:color w:val="555555"/>
          <w:sz w:val="18"/>
        </w:rPr>
        <w:t xml:space="preserve">Stand: 01.07.2021 (konsolidierte Textfassung, kein amtliches Inkrafttretensdatum)</w:t>
      </w:r>
    </w:p>
    <w:p>
      <w:r>
        <w:t xml:space="preserve">(1) Die Vorschriften dieses Gesetzes sind auf natürliche Personen, Körperschaften, Personenvereinigungen und Vermögensmassen anzuwenden.</w:t>
      </w:r>
    </w:p>
    <w:p>
      <w:r>
        <w:t xml:space="preserve">(2) Dieses Gesetz ist auf Steuern einschließlich der Steuervergütungen anzuwenden, die durch Bundesrecht oder Recht der Europäischen Union geregelt sind und durch Bundesfinanzbehörden, Landesfinanzbehörden oder Gemeinden verwaltet werden, ausgenommen die Umsatzsteuer, einschließlich der Einfuhrumsatzsteuer, Einfuhr- und Ausfuhrabgaben und Verbrauchsteuern.</w:t>
      </w:r>
    </w:p>
    <w:p>
      <w:r>
        <w:t xml:space="preserve">(3) Die Vorschriften dieses Gesetzes werden durch Abkommen zur Vermeidung der Doppelbesteuerung nicht eingeschränkt oder ausgeschlossen. Darüber hinaus werden deutsche Besteuerungsrechte durch Abkommen zur Vermeidung der Doppelbesteuerung mit nicht kooperativen Steuerhoheitsgebieten für den Zeitraum, in denen die Abschnitte 3 und 4 bezogen auf dieses Steuerhoheitsgebiet Anwendung finden, nicht berührt.</w:t>
      </w:r>
    </w:p>
    <w:p>
      <w:r>
        <w:rPr>
          <w:color w:val="555555"/>
          <w:sz w:val="17"/>
        </w:rPr>
        <w:t xml:space="preserve">Zitiervorschlag: § 1 StAbwG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https://recht.nulegal.eu/gesetze/StAbwG/1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