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StAGebV — Übergangsregelung</w:t>
      </w:r>
    </w:p>
    <w:p>
      <w:r>
        <w:rPr>
          <w:color w:val="555555"/>
          <w:sz w:val="18"/>
        </w:rPr>
        <w:t xml:space="preserve">Staatsangehörigkeits-Gebührenverordnung</w:t>
      </w:r>
    </w:p>
    <w:p>
      <w:r>
        <w:rPr>
          <w:color w:val="555555"/>
          <w:sz w:val="18"/>
        </w:rPr>
        <w:t xml:space="preserve">Historische Fassung: Stand 10.06.2019 bis 20.08.2021. Dies ist nicht die aktuelle Fassung.</w:t>
      </w:r>
    </w:p>
    <w:p>
      <w:r>
        <w:t xml:space="preserve">Diese Verordnung gilt auch, wenn der maßgebliche Antrag auf eine Amtshandlung vor ihrem Inkrafttreten gestellt worden ist, das Verfahren aber erst später abgeschlossen wird.</w:t>
      </w:r>
    </w:p>
    <w:p>
      <w:r>
        <w:rPr>
          <w:color w:val="555555"/>
          <w:sz w:val="17"/>
        </w:rPr>
        <w:t xml:space="preserve">Zitiervorschlag: § 7 StAGebV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https://recht.nulegal.eu/gesetze/StAGebV/7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