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StAGebV</w:t>
      </w:r>
    </w:p>
    <w:p>
      <w:r>
        <w:rPr>
          <w:color w:val="555555"/>
          <w:sz w:val="18"/>
        </w:rPr>
        <w:t xml:space="preserve">Staatsangehörigkeits-Gebührenverordnung</w:t>
      </w:r>
    </w:p>
    <w:p>
      <w:r>
        <w:rPr>
          <w:color w:val="555555"/>
          <w:sz w:val="18"/>
        </w:rPr>
        <w:t xml:space="preserve">Historische Fassung: Stand 10.06.2019 bis 20.08.2021. Dies ist nicht die aktuelle Fassung.</w:t>
      </w:r>
    </w:p>
    <w:p>
      <w:r>
        <w:t xml:space="preserve">(Aufhebung von Vorschriften)</w:t>
      </w:r>
    </w:p>
    <w:p>
      <w:r>
        <w:rPr>
          <w:color w:val="555555"/>
          <w:sz w:val="17"/>
        </w:rPr>
        <w:t xml:space="preserve">Zitiervorschlag: § 6 StAGebV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