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StAGebV — Abrundung, Auslagen</w:t>
      </w:r>
    </w:p>
    <w:p>
      <w:r>
        <w:rPr>
          <w:color w:val="555555"/>
          <w:sz w:val="18"/>
        </w:rPr>
        <w:t xml:space="preserve">Staatsangehörigkeits-Gebührenverordnung</w:t>
      </w:r>
    </w:p>
    <w:p>
      <w:r>
        <w:rPr>
          <w:color w:val="555555"/>
          <w:sz w:val="18"/>
        </w:rPr>
        <w:t xml:space="preserve">Historische Fassung: Stand 10.06.2019 bis 20.08.2021. Dies ist nicht die aktuelle Fassung.</w:t>
      </w:r>
    </w:p>
    <w:p>
      <w:r>
        <w:t xml:space="preserve">Die sich nach dieser Verordnung ergebenden Beträge werden auf volle Euro abgerundet.</w:t>
      </w:r>
    </w:p>
    <w:p>
      <w:r>
        <w:rPr>
          <w:color w:val="555555"/>
          <w:sz w:val="17"/>
        </w:rPr>
        <w:t xml:space="preserve">Zitiervorschlag: § 4 StAGebV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https://recht.nulegal.eu/gesetze/StAGebV/4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