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StAErmPV (Bayern)</w:t>
      </w:r>
    </w:p>
    <w:p>
      <w:r>
        <w:rPr>
          <w:color w:val="555555"/>
          <w:sz w:val="18"/>
        </w:rPr>
        <w:t xml:space="preserve">Ermittlungspersonen-Verordnung Staatsanwaltschaft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Auf Grund des § 152 Abs. 2 Sätze 1 und 3 des Gerichtsverfassungsgesetzes in der Fassung der Bekanntmachung vom 9. Mai 1975 (BGBl I S. 1077), zuletzt geändert durch Art. 2 des Gesetzes vom 16. Juni 1995 (BGBl I S. 818) in Verbindung mit § 1 Abs. 1 Nr. 8 der Zuständigkeitsübertragungsverordnung Justiz vom 17. Februar 1987 (GVBl S. 33, BayRS 300-1-3-J), zuletzt geändert durch Verordnung vom 20. Juni 1995 (GVBl S. 304), erläßt das Bayerische Staatsministerium der Justiz folgende Verordnung:</w:t>
      </w:r>
    </w:p>
    <w:p>
      <w:r>
        <w:rPr>
          <w:color w:val="555555"/>
          <w:sz w:val="17"/>
        </w:rPr>
        <w:t xml:space="preserve">Zitiervorschlag: Eingangsformel StAErmPV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https://recht.nulegal.eu/gesetze/StAErmPV/eingangsformel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