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StAErmPV (Bayern) — Inkrafttreten</w:t>
      </w:r>
    </w:p>
    <w:p>
      <w:r>
        <w:rPr>
          <w:color w:val="555555"/>
          <w:sz w:val="18"/>
        </w:rPr>
        <w:t xml:space="preserve">Ermittlungspersonen-Verordnung Staatsanwaltschaft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mit Wirkung vom 1. Januar 1996 in Kraft.</w:t>
      </w:r>
    </w:p>
    <w:p>
      <w:r>
        <w:rPr>
          <w:color w:val="555555"/>
          <w:sz w:val="17"/>
        </w:rPr>
        <w:t xml:space="preserve">Zitiervorschlag: § 4 StAErmPV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https://recht.nulegal.eu/gesetze/StAErmPV/4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