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SpurVerkErprG — Entschädigung</w:t>
      </w:r>
    </w:p>
    <w:p>
      <w:r>
        <w:rPr>
          <w:color w:val="555555"/>
          <w:sz w:val="18"/>
        </w:rPr>
        <w:t xml:space="preserve">Gesetz über den Bau und den Betrieb von Versuchsanlagen zur Erprobung von Techniken für den spurgeführten Verkehr</w:t>
      </w:r>
    </w:p>
    <w:p>
      <w:r>
        <w:rPr>
          <w:color w:val="555555"/>
          <w:sz w:val="18"/>
        </w:rPr>
        <w:t xml:space="preserve">Stand: 10.06.2019 (konsolidierte Textfassung, kein amtliches Inkrafttretensdatum)</w:t>
      </w:r>
    </w:p>
    <w:p>
      <w:r>
        <w:t xml:space="preserve">Kommt in den Fällen des § 7 Abs. 2 Satz 1 oder des § 8 Abs. 3 eine Einigung über die Geldentschädigung nicht zustande, setzt die nach Landesrecht zuständige Behörde auf Antrag des Bundes oder des Berechtigten die Entschädigung fest. Vor der Entscheidung sind die Beteiligten zu hören.</w:t>
      </w:r>
    </w:p>
    <w:p>
      <w:r>
        <w:rPr>
          <w:color w:val="555555"/>
          <w:sz w:val="17"/>
        </w:rPr>
        <w:t xml:space="preserve">Zitiervorschlag: § 9 SpurVerkErprG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https://recht.nulegal.eu/gesetze/SpurVerkErprG/9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