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SpurVerkErprG — Vorarbeiten</w:t>
      </w:r>
    </w:p>
    <w:p>
      <w:r>
        <w:rPr>
          <w:color w:val="555555"/>
          <w:sz w:val="18"/>
        </w:rPr>
        <w:t xml:space="preserve">Gesetz über den Bau und den Betrieb von Versuchsanlagen zur Erprobung von Techniken für den spurgeführten Verkehr</w:t>
      </w:r>
    </w:p>
    <w:p>
      <w:r>
        <w:rPr>
          <w:color w:val="555555"/>
          <w:sz w:val="18"/>
        </w:rPr>
        <w:t xml:space="preserve">Stand: 10.06.2019 (konsolidierte Textfassung, kein amtliches Inkrafttretensdatum)</w:t>
      </w:r>
    </w:p>
    <w:p>
      <w:r>
        <w:t xml:space="preserve">(1) Eigentümer und sonstige Nutzungsberechtigte haben zur Vorbereitung von Planungen notwendige Vermessungen, Boden- und Grundwasseruntersuchungen einschließlich der vorübergehenden Anbringung von Markierungszeichen und sonstige Vorarbeiten durch den Bund oder von ihm Beauftragte zu dulden.</w:t>
      </w:r>
    </w:p>
    <w:p>
      <w:r>
        <w:t xml:space="preserve">(2) Die Absicht, solche Arbeiten auszuführen, ist dem Eigentümer oder sonstigen Nutzungsberechtigten mindestens zwei Wochen vorher unmittelbar und durch ortsübliche Bekanntmachung in den Gemeinden, in deren Bereich die Vorarbeiten durchzuführen sind, bekanntzugeben.</w:t>
      </w:r>
    </w:p>
    <w:p>
      <w:r>
        <w:t xml:space="preserve">(3) Entstehen durch eine Maßnahme nach Absatz 1 einem Eigentümer oder sonstigen Nutzungsberechtigten unmittelbare Vermögensnachteile, hat der Bund eine angemessene Entschädigung in Geld zu leisten.</w:t>
      </w:r>
    </w:p>
    <w:p>
      <w:r>
        <w:rPr>
          <w:color w:val="555555"/>
          <w:sz w:val="17"/>
        </w:rPr>
        <w:t xml:space="preserve">Zitiervorschlag: § 8 SpurVerkErprG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https://recht.nulegal.eu/gesetze/SpurVerkErprG/8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