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SpurVerkErprG — Planfeststellungsbehörde</w:t>
      </w:r>
    </w:p>
    <w:p>
      <w:r>
        <w:rPr>
          <w:color w:val="555555"/>
          <w:sz w:val="18"/>
        </w:rPr>
        <w:t xml:space="preserve">Gesetz über den Bau und den Betrieb von Versuchsanlagen zur Erprobung von Techniken für den spurgeführten Verkehr</w:t>
      </w:r>
    </w:p>
    <w:p>
      <w:r>
        <w:rPr>
          <w:color w:val="555555"/>
          <w:sz w:val="18"/>
        </w:rPr>
        <w:t xml:space="preserve">Stand: 10.06.2019 (konsolidierte Textfassung, kein amtliches Inkrafttretensdatum)</w:t>
      </w:r>
    </w:p>
    <w:p>
      <w:r>
        <w:t xml:space="preserve">Die Planfeststellung wird von der örtlich zuständigen Bundesbahndirektion durchgeführt. Bestehen zwischen der Anhörungsbehörde oder einer anderen beteiligten Behörde und der Bundesbahndirektion Meinungsverschiedenheiten, wird der Plan vom Bundesministerium für Verkehr und digitale Infrastruktur festgestellt.</w:t>
      </w:r>
    </w:p>
    <w:p>
      <w:r>
        <w:rPr>
          <w:color w:val="555555"/>
          <w:sz w:val="17"/>
        </w:rPr>
        <w:t xml:space="preserve">Zitiervorschlag: § 4 SpurVerkErprG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https://recht.nulegal.eu/gesetze/SpurVerkErprG/4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