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SpurVerkErprG — Versuchsanlage des Bundes</w:t>
      </w:r>
    </w:p>
    <w:p>
      <w:r>
        <w:rPr>
          <w:color w:val="555555"/>
          <w:sz w:val="18"/>
        </w:rPr>
        <w:t xml:space="preserve">Gesetz über den Bau und den Betrieb von Versuchsanlagen zur Erprobung von Techniken für den spurgeführten 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Erprobung von Techniken für den öffentlichen spurgeführten Verkehr der Bundeseisenbahnen errichtet die Bundesrepublik Deutschland eine Versuchsanlage als Bundeseisenbahnanlage. Die Versuchsanlage wird nicht Bestandteil des Sondervermögens "Deutsche Bundesbahn".</w:t>
      </w:r>
    </w:p>
    <w:p>
      <w:r>
        <w:t xml:space="preserve">(2) Die Versuchsanlage steht zu Versuchs- und Forschungszwecken grundsätzlich auch Dritten offen. Das Nähere regelt das Bundesministerium für Verkehr und digitale Infrastruktur durch eine Benutzungsordnung.</w:t>
      </w:r>
    </w:p>
    <w:p>
      <w:r>
        <w:rPr>
          <w:color w:val="555555"/>
          <w:sz w:val="17"/>
        </w:rPr>
        <w:t xml:space="preserve">Zitiervorschlag: § 1 SpurVerkErprG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https://recht.nulegal.eu/gesetze/SpurVerkErprG/1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