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SpruchG — Antragsberechtigung</w:t>
      </w:r>
    </w:p>
    <w:p>
      <w:r>
        <w:rPr>
          <w:color w:val="555555"/>
          <w:sz w:val="18"/>
        </w:rPr>
        <w:t xml:space="preserve">Spruchverfahrensgesetz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Antragsberechtigt für Verfahren nach § 1 ist in den Fällen</w:t>
      </w:r>
    </w:p>
    <w:p>
      <w:pPr>
        <w:ind w:left="420"/>
      </w:pPr>
      <w:r>
        <w:t xml:space="preserve">1. der Nummer 1 jeder Aktionär, dessen Bezugsrecht ganz oder teilweise ausgeschlossen worden ist;</w:t>
      </w:r>
    </w:p>
    <w:p>
      <w:pPr>
        <w:ind w:left="420"/>
      </w:pPr>
      <w:r>
        <w:t xml:space="preserve">2. der Nummer 2 jeder außenstehende Aktionär;</w:t>
      </w:r>
    </w:p>
    <w:p>
      <w:pPr>
        <w:ind w:left="420"/>
      </w:pPr>
      <w:r>
        <w:t xml:space="preserve">3. der Nummern 3 und 4 jeder ausgeschiedene Aktionär;</w:t>
      </w:r>
    </w:p>
    <w:p>
      <w:pPr>
        <w:ind w:left="420"/>
      </w:pPr>
      <w:r>
        <w:t xml:space="preserve">4. der Nummer 5 jeder in den dort angeführten Vorschriften des Umwandlungsgesetzes bezeichnete Anteilsinhaber;</w:t>
      </w:r>
    </w:p>
    <w:p>
      <w:pPr>
        <w:ind w:left="420"/>
      </w:pPr>
      <w:r>
        <w:t xml:space="preserve">5. der Nummer 6 jeder in den dort angeführten Vorschriften des SE-Ausführungsgesetzes bezeichnete Anteilsinhaber;</w:t>
      </w:r>
    </w:p>
    <w:p>
      <w:pPr>
        <w:ind w:left="420"/>
      </w:pPr>
      <w:r>
        <w:t xml:space="preserve">6. der Nummer 7 jedes in der dort angeführten Vorschrift des SCE-Ausführungsgesetzes bezeichnete Mitglied;</w:t>
      </w:r>
    </w:p>
    <w:p>
      <w:pPr>
        <w:ind w:left="420"/>
      </w:pPr>
      <w:r>
        <w:t xml:space="preserve">7. der Nummer 8 jeder, der ein Angebot beim Widerruf der Zulassung von Wertpapieren zum Handel auf Antrag des Emittenten nach § 39 Absatz 2 Satz 2 Nummer 1 des Börsengesetzes angenommen hat.</w:t>
      </w:r>
    </w:p>
    <w:p>
      <w:r>
        <w:t xml:space="preserve">In den Fällen der Nummern 1, 2, 4, 5 und 6 ist die Antragsberechtigung nur gegeben, wenn der Antragsteller zum Zeitpunkt der Antragstellung Anteilsinhaber ist; dies gilt nicht für die Bestimmung der Barabfindung bei grenzüberschreitenden Umwandlungen (§§ 313, 327 und 340 des Umwandlungsgesetzes) gemäß § 1 Nummer 4. Die Stellung als Aktionär ist dem Gericht ausschließlich durch Urkunden nachzuweisen.</w:t>
      </w:r>
    </w:p>
    <w:p>
      <w:r>
        <w:rPr>
          <w:color w:val="555555"/>
          <w:sz w:val="17"/>
        </w:rPr>
        <w:t xml:space="preserve">Zitiervorschlag: § 3 SpruchG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https://recht.nulegal.eu/gesetze/SpruchG/3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