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SpruchG — Wirkung der Entscheidung</w:t>
      </w:r>
    </w:p>
    <w:p>
      <w:r>
        <w:rPr>
          <w:color w:val="555555"/>
          <w:sz w:val="18"/>
        </w:rPr>
        <w:t xml:space="preserve">Spruchverfahrensgesetz</w:t>
      </w:r>
    </w:p>
    <w:p>
      <w:r>
        <w:rPr>
          <w:color w:val="555555"/>
          <w:sz w:val="18"/>
        </w:rPr>
        <w:t xml:space="preserve">Stand: 01.03.2023 (konsolidierte Textfassung, kein amtliches Inkrafttretensdatum)</w:t>
      </w:r>
    </w:p>
    <w:p>
      <w:r>
        <w:t xml:space="preserve">Die Entscheidung wird erst mit der Rechtskraft wirksam. Sie wirkt für und gegen alle, einschließlich derjenigen Anteilsinhaber, die bereits gegen die ursprünglich angebotene Barabfindung oder sonstige Abfindung aus dem betroffenen Rechtsträger ausgeschieden sind. Ein Vergleich bleibt unberührt, auch wenn er vom gemeinsamen Vertreter geschlossen wurde.</w:t>
      </w:r>
    </w:p>
    <w:p>
      <w:r>
        <w:rPr>
          <w:color w:val="555555"/>
          <w:sz w:val="17"/>
        </w:rPr>
        <w:t xml:space="preserve">Zitiervorschlag: § 13 SpruchG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https://recht.nulegal.eu/gesetze/SpruchG/13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