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SprengV 4</w:t>
      </w:r>
    </w:p>
    <w:p>
      <w:r>
        <w:rPr>
          <w:color w:val="555555"/>
          <w:sz w:val="18"/>
        </w:rPr>
        <w:t xml:space="preserve">Kostenverordnung zum Sprengstoffgesetz</w:t>
      </w:r>
    </w:p>
    <w:p>
      <w:r>
        <w:rPr>
          <w:color w:val="555555"/>
          <w:sz w:val="18"/>
        </w:rPr>
        <w:t xml:space="preserve">Historische Fassung: Stand 10.06.2019 bis 02.10.2019. Dies ist nicht die aktuelle Fassung.</w:t>
      </w:r>
    </w:p>
    <w:p>
      <w:r>
        <w:t xml:space="preserve">(Inkrafttreten, Außerkrafttreten von Rechtsvorschriften)</w:t>
      </w:r>
    </w:p>
    <w:p>
      <w:r>
        <w:rPr>
          <w:color w:val="555555"/>
          <w:sz w:val="17"/>
        </w:rPr>
        <w:t xml:space="preserve">Zitiervorschlag: § 7 SprengV 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https://recht.nulegal.eu/gesetze/SprengV%204/7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