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SprengV 4</w:t>
      </w:r>
    </w:p>
    <w:p>
      <w:r>
        <w:rPr>
          <w:color w:val="555555"/>
          <w:sz w:val="18"/>
        </w:rPr>
        <w:t xml:space="preserve">Kostenverordnung zum Sprengstoffgesetz</w:t>
      </w:r>
    </w:p>
    <w:p>
      <w:r>
        <w:rPr>
          <w:color w:val="555555"/>
          <w:sz w:val="18"/>
        </w:rPr>
        <w:t xml:space="preserve">Historische Fassung: Stand 10.06.2019 bis 02.10.2019. Dies ist nicht die aktuelle Fassung.</w:t>
      </w:r>
    </w:p>
    <w:p>
      <w:r>
        <w:t xml:space="preserve">Die Gebühr für die Abnahme der Prüfung</w:t>
      </w:r>
    </w:p>
    <w:p>
      <w:pPr>
        <w:ind w:left="420"/>
      </w:pPr>
      <w:r>
        <w:t xml:space="preserve">1. nach § 9 Abs. 1 Nr. 2 in Verbindung mit § 8 Abs. 1 Nr. 2a oder § 20 Abs. 2 SprengG oder</w:t>
      </w:r>
    </w:p>
    <w:p>
      <w:pPr>
        <w:ind w:left="420"/>
      </w:pPr>
      <w:r>
        <w:t xml:space="preserve">2. nach § 9 Abs. 1 Nr. 2 in Verbindung mit § 27 Abs. 3 Satz 3 SprengG.</w:t>
      </w:r>
    </w:p>
    <w:p>
      <w:pPr>
        <w:ind w:left="420"/>
      </w:pPr>
      <w:r>
        <w:t xml:space="preserve">3. (weggefallen)</w:t>
      </w:r>
    </w:p>
    <w:p>
      <w:r>
        <w:t xml:space="preserve">wird auch erhoben, wenn die Prüfung ohne Verschulden der Prüfbehörde und ohne ausreichende Entschuldigung des Bewerbers am festgesetzten Termin nicht stattfinden konnte oder abgebrochen werden mußte.</w:t>
      </w:r>
    </w:p>
    <w:p>
      <w:r>
        <w:rPr>
          <w:color w:val="555555"/>
          <w:sz w:val="17"/>
        </w:rPr>
        <w:t xml:space="preserve">Zitiervorschlag: § 3 SprengV 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